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0B" w:rsidRDefault="0071040B">
      <w:pPr>
        <w:jc w:val="center"/>
      </w:pPr>
      <w:proofErr w:type="gramStart"/>
      <w:r>
        <w:t>8.0  Nonresponse</w:t>
      </w:r>
      <w:proofErr w:type="gramEnd"/>
      <w:r w:rsidR="003E56BE">
        <w:t xml:space="preserve"> (From S. </w:t>
      </w:r>
      <w:proofErr w:type="spellStart"/>
      <w:r w:rsidR="003E56BE">
        <w:t>Lohr</w:t>
      </w:r>
      <w:proofErr w:type="spellEnd"/>
      <w:r w:rsidR="003E56BE">
        <w:t>)</w:t>
      </w:r>
    </w:p>
    <w:p w:rsidR="0071040B" w:rsidRDefault="0071040B"/>
    <w:p w:rsidR="0071040B" w:rsidRDefault="0071040B">
      <w:pPr>
        <w:numPr>
          <w:ilvl w:val="1"/>
          <w:numId w:val="1"/>
        </w:numPr>
      </w:pPr>
      <w:r>
        <w:t>Effects of Nonresponse</w:t>
      </w:r>
    </w:p>
    <w:p w:rsidR="0071040B" w:rsidRDefault="0071040B"/>
    <w:p w:rsidR="0071040B" w:rsidRDefault="0071040B">
      <w:pPr>
        <w:ind w:left="720"/>
      </w:pPr>
      <w:r>
        <w:t>Increasing sample size does nothing to reduce nonresponse bias – you may have more subjects (those that would respond to the survey), but you may also be increasing the potential bias due to nonresponse.</w:t>
      </w:r>
    </w:p>
    <w:p w:rsidR="0071040B" w:rsidRDefault="0071040B">
      <w:pPr>
        <w:ind w:left="720"/>
      </w:pPr>
    </w:p>
    <w:p w:rsidR="0071040B" w:rsidRDefault="0071040B">
      <w:pPr>
        <w:ind w:left="720"/>
      </w:pPr>
      <w:r>
        <w:t>Analysis of complete records is representative of the population of persons that would respond to the survey – generally not the same population as the target population.</w:t>
      </w:r>
    </w:p>
    <w:p w:rsidR="0071040B" w:rsidRDefault="0071040B">
      <w:pPr>
        <w:ind w:left="720"/>
      </w:pPr>
    </w:p>
    <w:p w:rsidR="0071040B" w:rsidRDefault="0071040B">
      <w:pPr>
        <w:ind w:left="720"/>
      </w:pPr>
    </w:p>
    <w:tbl>
      <w:tblPr>
        <w:tblW w:w="8759" w:type="dxa"/>
        <w:tblInd w:w="720" w:type="dxa"/>
        <w:tblLook w:val="0000" w:firstRow="0" w:lastRow="0" w:firstColumn="0" w:lastColumn="0" w:noHBand="0" w:noVBand="0"/>
      </w:tblPr>
      <w:tblGrid>
        <w:gridCol w:w="2268"/>
        <w:gridCol w:w="1440"/>
        <w:gridCol w:w="1530"/>
        <w:gridCol w:w="1735"/>
        <w:gridCol w:w="1786"/>
      </w:tblGrid>
      <w:tr w:rsidR="0071040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040B" w:rsidRDefault="0071040B">
            <w:r>
              <w:t>Stratum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1040B" w:rsidRDefault="0071040B">
            <w:pPr>
              <w:jc w:val="center"/>
            </w:pPr>
            <w:r>
              <w:t>Size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71040B" w:rsidRDefault="0071040B">
            <w:pPr>
              <w:jc w:val="center"/>
            </w:pPr>
            <w:r>
              <w:t>Total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71040B" w:rsidRDefault="0071040B">
            <w:pPr>
              <w:jc w:val="center"/>
            </w:pPr>
            <w:r>
              <w:t>Mean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71040B" w:rsidRDefault="0071040B">
            <w:pPr>
              <w:jc w:val="center"/>
            </w:pPr>
            <w:r>
              <w:t>Variance</w:t>
            </w:r>
          </w:p>
        </w:tc>
      </w:tr>
      <w:tr w:rsidR="0071040B">
        <w:tc>
          <w:tcPr>
            <w:tcW w:w="2268" w:type="dxa"/>
            <w:tcBorders>
              <w:top w:val="single" w:sz="4" w:space="0" w:color="auto"/>
            </w:tcBorders>
          </w:tcPr>
          <w:p w:rsidR="0071040B" w:rsidRDefault="0071040B">
            <w:r>
              <w:t>Respondents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1040B" w:rsidRDefault="0071040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R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71040B" w:rsidRDefault="0071040B">
            <w:pPr>
              <w:jc w:val="center"/>
              <w:rPr>
                <w:i/>
                <w:iCs/>
                <w:vertAlign w:val="subscript"/>
              </w:rPr>
            </w:pPr>
            <w:proofErr w:type="spellStart"/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R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71040B" w:rsidRDefault="0071040B">
            <w:pPr>
              <w:jc w:val="center"/>
            </w:pPr>
            <w:r>
              <w:rPr>
                <w:position w:val="-12"/>
              </w:rPr>
              <w:object w:dxaOrig="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pt;height:18pt" o:ole="">
                  <v:imagedata r:id="rId5" o:title=""/>
                </v:shape>
                <o:OLEObject Type="Embed" ProgID="Equation.3" ShapeID="_x0000_i1025" DrawAspect="Content" ObjectID="_1713521250" r:id="rId6"/>
              </w:objec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71040B" w:rsidRDefault="0071040B">
            <w:pPr>
              <w:jc w:val="center"/>
            </w:pPr>
            <w:r>
              <w:rPr>
                <w:position w:val="-10"/>
              </w:rPr>
              <w:object w:dxaOrig="320" w:dyaOrig="360">
                <v:shape id="_x0000_i1026" type="#_x0000_t75" style="width:16pt;height:18pt" o:ole="">
                  <v:imagedata r:id="rId7" o:title=""/>
                </v:shape>
                <o:OLEObject Type="Embed" ProgID="Equation.3" ShapeID="_x0000_i1026" DrawAspect="Content" ObjectID="_1713521251" r:id="rId8"/>
              </w:object>
            </w:r>
          </w:p>
        </w:tc>
      </w:tr>
      <w:tr w:rsidR="0071040B">
        <w:tc>
          <w:tcPr>
            <w:tcW w:w="2268" w:type="dxa"/>
          </w:tcPr>
          <w:p w:rsidR="0071040B" w:rsidRDefault="0071040B">
            <w:proofErr w:type="spellStart"/>
            <w:r>
              <w:t>Nonrespondents</w:t>
            </w:r>
            <w:proofErr w:type="spellEnd"/>
          </w:p>
        </w:tc>
        <w:tc>
          <w:tcPr>
            <w:tcW w:w="1440" w:type="dxa"/>
          </w:tcPr>
          <w:p w:rsidR="0071040B" w:rsidRDefault="0071040B">
            <w:pPr>
              <w:jc w:val="center"/>
              <w:rPr>
                <w:i/>
                <w:iCs/>
                <w:vertAlign w:val="subscript"/>
              </w:rPr>
            </w:pPr>
            <w:r>
              <w:rPr>
                <w:i/>
                <w:iCs/>
              </w:rPr>
              <w:t>N</w:t>
            </w:r>
            <w:r>
              <w:rPr>
                <w:i/>
                <w:iCs/>
                <w:vertAlign w:val="subscript"/>
              </w:rPr>
              <w:t>M</w:t>
            </w:r>
          </w:p>
        </w:tc>
        <w:tc>
          <w:tcPr>
            <w:tcW w:w="1530" w:type="dxa"/>
          </w:tcPr>
          <w:p w:rsidR="0071040B" w:rsidRDefault="0071040B">
            <w:pPr>
              <w:jc w:val="center"/>
              <w:rPr>
                <w:i/>
                <w:iCs/>
                <w:vertAlign w:val="subscript"/>
              </w:rPr>
            </w:pPr>
            <w:proofErr w:type="spellStart"/>
            <w:r>
              <w:rPr>
                <w:i/>
                <w:iCs/>
              </w:rPr>
              <w:t>t</w:t>
            </w:r>
            <w:r>
              <w:rPr>
                <w:i/>
                <w:iCs/>
                <w:vertAlign w:val="subscript"/>
              </w:rPr>
              <w:t>M</w:t>
            </w:r>
            <w:proofErr w:type="spellEnd"/>
          </w:p>
        </w:tc>
        <w:tc>
          <w:tcPr>
            <w:tcW w:w="1735" w:type="dxa"/>
          </w:tcPr>
          <w:p w:rsidR="0071040B" w:rsidRDefault="0071040B">
            <w:pPr>
              <w:jc w:val="center"/>
            </w:pPr>
            <w:r>
              <w:rPr>
                <w:position w:val="-12"/>
              </w:rPr>
              <w:object w:dxaOrig="460" w:dyaOrig="360">
                <v:shape id="_x0000_i1027" type="#_x0000_t75" style="width:23pt;height:18pt" o:ole="">
                  <v:imagedata r:id="rId9" o:title=""/>
                </v:shape>
                <o:OLEObject Type="Embed" ProgID="Equation.3" ShapeID="_x0000_i1027" DrawAspect="Content" ObjectID="_1713521252" r:id="rId10"/>
              </w:object>
            </w:r>
          </w:p>
        </w:tc>
        <w:tc>
          <w:tcPr>
            <w:tcW w:w="1786" w:type="dxa"/>
          </w:tcPr>
          <w:p w:rsidR="0071040B" w:rsidRDefault="0071040B">
            <w:pPr>
              <w:jc w:val="center"/>
            </w:pPr>
            <w:r>
              <w:rPr>
                <w:position w:val="-10"/>
              </w:rPr>
              <w:object w:dxaOrig="360" w:dyaOrig="360">
                <v:shape id="_x0000_i1028" type="#_x0000_t75" style="width:18pt;height:18pt" o:ole="">
                  <v:imagedata r:id="rId11" o:title=""/>
                </v:shape>
                <o:OLEObject Type="Embed" ProgID="Equation.3" ShapeID="_x0000_i1028" DrawAspect="Content" ObjectID="_1713521253" r:id="rId12"/>
              </w:object>
            </w:r>
          </w:p>
        </w:tc>
      </w:tr>
      <w:tr w:rsidR="0071040B">
        <w:tc>
          <w:tcPr>
            <w:tcW w:w="2268" w:type="dxa"/>
            <w:tcBorders>
              <w:bottom w:val="single" w:sz="4" w:space="0" w:color="auto"/>
            </w:tcBorders>
          </w:tcPr>
          <w:p w:rsidR="0071040B" w:rsidRDefault="0071040B">
            <w:r>
              <w:t>Entire Population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1040B" w:rsidRDefault="00710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040B" w:rsidRDefault="00710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1040B" w:rsidRDefault="0071040B">
            <w:pPr>
              <w:jc w:val="center"/>
            </w:pPr>
            <w:r>
              <w:rPr>
                <w:position w:val="-12"/>
              </w:rPr>
              <w:object w:dxaOrig="340" w:dyaOrig="360">
                <v:shape id="_x0000_i1029" type="#_x0000_t75" style="width:17pt;height:18pt" o:ole="">
                  <v:imagedata r:id="rId13" o:title=""/>
                </v:shape>
                <o:OLEObject Type="Embed" ProgID="Equation.3" ShapeID="_x0000_i1029" DrawAspect="Content" ObjectID="_1713521254" r:id="rId14"/>
              </w:objec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71040B" w:rsidRDefault="0071040B">
            <w:pPr>
              <w:jc w:val="center"/>
            </w:pPr>
            <w:r>
              <w:rPr>
                <w:position w:val="-14"/>
              </w:rPr>
              <w:object w:dxaOrig="320" w:dyaOrig="400">
                <v:shape id="_x0000_i1030" type="#_x0000_t75" style="width:16pt;height:20pt" o:ole="">
                  <v:imagedata r:id="rId15" o:title=""/>
                </v:shape>
                <o:OLEObject Type="Embed" ProgID="Equation.3" ShapeID="_x0000_i1030" DrawAspect="Content" ObjectID="_1713521255" r:id="rId16"/>
              </w:object>
            </w:r>
          </w:p>
        </w:tc>
      </w:tr>
    </w:tbl>
    <w:p w:rsidR="0071040B" w:rsidRDefault="0071040B">
      <w:pPr>
        <w:ind w:left="720"/>
      </w:pPr>
    </w:p>
    <w:p w:rsidR="0071040B" w:rsidRDefault="0071040B">
      <w:pPr>
        <w:ind w:left="720"/>
      </w:pPr>
    </w:p>
    <w:p w:rsidR="0071040B" w:rsidRDefault="0071040B">
      <w:pPr>
        <w:ind w:left="720"/>
      </w:pPr>
      <w:r>
        <w:t>The bias is approximately</w:t>
      </w:r>
      <w:proofErr w:type="gramStart"/>
      <w:r>
        <w:t xml:space="preserve">:  </w:t>
      </w:r>
      <w:proofErr w:type="gramEnd"/>
      <w:r>
        <w:rPr>
          <w:position w:val="-24"/>
        </w:rPr>
        <w:object w:dxaOrig="3060" w:dyaOrig="639">
          <v:shape id="_x0000_i1031" type="#_x0000_t75" style="width:153pt;height:32pt" o:ole="">
            <v:imagedata r:id="rId17" o:title=""/>
          </v:shape>
          <o:OLEObject Type="Embed" ProgID="Equation.3" ShapeID="_x0000_i1031" DrawAspect="Content" ObjectID="_1713521256" r:id="rId18"/>
        </w:object>
      </w:r>
      <w:r>
        <w:t xml:space="preserve">, which will be small if the  mean of </w:t>
      </w:r>
      <w:proofErr w:type="spellStart"/>
      <w:r>
        <w:t>nonrespondents</w:t>
      </w:r>
      <w:proofErr w:type="spellEnd"/>
      <w:r>
        <w:t xml:space="preserve"> is close to the mean of respondents or if the ratio of </w:t>
      </w:r>
      <w:proofErr w:type="spellStart"/>
      <w:r>
        <w:t>nonrespondents</w:t>
      </w:r>
      <w:proofErr w:type="spellEnd"/>
      <w:r>
        <w:t xml:space="preserve"> to population size is small.</w:t>
      </w:r>
    </w:p>
    <w:p w:rsidR="0071040B" w:rsidRDefault="0071040B">
      <w:pPr>
        <w:ind w:left="720"/>
      </w:pPr>
    </w:p>
    <w:p w:rsidR="0071040B" w:rsidRDefault="0071040B">
      <w:pPr>
        <w:ind w:left="720"/>
      </w:pPr>
    </w:p>
    <w:p w:rsidR="0071040B" w:rsidRDefault="0071040B">
      <w:r>
        <w:t>8.2</w:t>
      </w:r>
      <w:r>
        <w:tab/>
        <w:t xml:space="preserve">Designing Surveys to Reduce </w:t>
      </w:r>
      <w:proofErr w:type="spellStart"/>
      <w:r>
        <w:t>Nonsampling</w:t>
      </w:r>
      <w:proofErr w:type="spellEnd"/>
      <w:r>
        <w:t xml:space="preserve"> Errors</w:t>
      </w:r>
    </w:p>
    <w:p w:rsidR="0071040B" w:rsidRDefault="0071040B"/>
    <w:p w:rsidR="0071040B" w:rsidRDefault="0071040B">
      <w:pPr>
        <w:pStyle w:val="BodyTextIndent"/>
      </w:pPr>
      <w:r>
        <w:t>Anticipating the reasons for nonresponse will help prevent high nonresponse rates – getting to know your target population.</w:t>
      </w:r>
    </w:p>
    <w:p w:rsidR="0071040B" w:rsidRDefault="0071040B">
      <w:pPr>
        <w:ind w:left="720"/>
      </w:pPr>
    </w:p>
    <w:p w:rsidR="0071040B" w:rsidRDefault="0071040B">
      <w:pPr>
        <w:ind w:left="720"/>
      </w:pPr>
      <w:proofErr w:type="spellStart"/>
      <w:r>
        <w:t>Dillman</w:t>
      </w:r>
      <w:proofErr w:type="spellEnd"/>
      <w:r>
        <w:t xml:space="preserve"> (1995):  factorial experiment in the 1992 Census Implementation Test</w:t>
      </w:r>
    </w:p>
    <w:p w:rsidR="0071040B" w:rsidRDefault="0071040B">
      <w:pPr>
        <w:ind w:left="720"/>
      </w:pPr>
    </w:p>
    <w:p w:rsidR="0071040B" w:rsidRDefault="00591495">
      <w:pPr>
        <w:ind w:left="720"/>
        <w:rPr>
          <w:noProof/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23495</wp:posOffset>
                </wp:positionV>
                <wp:extent cx="3792855" cy="2630170"/>
                <wp:effectExtent l="3810" t="0" r="3810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2855" cy="2630170"/>
                          <a:chOff x="2412" y="10532"/>
                          <a:chExt cx="5973" cy="4142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906" y="10951"/>
                            <a:ext cx="2495" cy="2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72" y="11760"/>
                            <a:ext cx="2495" cy="2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7" y="10951"/>
                            <a:ext cx="1239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1" y="10957"/>
                            <a:ext cx="1239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1" y="13217"/>
                            <a:ext cx="1239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3" y="13201"/>
                            <a:ext cx="1239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01" y="10951"/>
                            <a:ext cx="0" cy="2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6" y="10951"/>
                            <a:ext cx="2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73" y="10532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59.5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55" y="10537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64.3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12782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58.0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37" y="11330"/>
                            <a:ext cx="7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59.8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11353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52.6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74" y="13601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50.0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03" y="13607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56.4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47" y="12810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62.7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12340"/>
                            <a:ext cx="1440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pPr>
                                <w:pStyle w:val="Heading1"/>
                              </w:pPr>
                              <w:r>
                                <w:t>Envelope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27" y="14171"/>
                            <a:ext cx="1005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13456"/>
                            <a:ext cx="1440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pPr>
                                <w:pStyle w:val="Heading1"/>
                              </w:pPr>
                              <w:r>
                                <w:t>Postcard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11593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09" y="13659"/>
                            <a:ext cx="58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7" y="13999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532" y="14004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0" y="13843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12961"/>
                            <a:ext cx="87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0B" w:rsidRDefault="0071040B"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52.8pt;margin-top:1.85pt;width:298.65pt;height:207.1pt;z-index:251657216" coordorigin="2412,10532" coordsize="5973,4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">
                <v:rect id="Rectangle 2" o:spid="_x0000_s1027" style="position:absolute;left:4906;top:10951;width:249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7mcAA&#10;AADaAAAADwAAAGRycy9kb3ducmV2LnhtbESPQWsCMRSE7wX/Q3hCbzVrCyJbo7RCQfC0Wy/eHpvX&#10;zbLJS9hEd/33RhB6HGbmG2azm5wVVxpi51nBclGAIG687rhVcPr9eVuDiAlZo/VMCm4UYbedvWyw&#10;1H7kiq51akWGcCxRgUkplFLGxpDDuPCBOHt/fnCYshxaqQccM9xZ+V4UK+mw47xgMNDeUNPXF6fA&#10;jauKTa3PbaiOfc/fNmi7VOp1Pn19gkg0pf/ws33QCj7gcSXf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O7mcAAAADaAAAADwAAAAAAAAAAAAAAAACYAgAAZHJzL2Rvd25y&#10;ZXYueG1sUEsFBgAAAAAEAAQA9QAAAIUDAAAAAA==&#10;">
                  <v:stroke dashstyle="1 1"/>
                </v:rect>
                <v:rect id="Rectangle 3" o:spid="_x0000_s1028" style="position:absolute;left:3672;top:11760;width:249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line id="Line 4" o:spid="_x0000_s1029" style="position:absolute;flip:x;visibility:visible;mso-wrap-style:square" from="3667,10951" to="4906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5" o:spid="_x0000_s1030" style="position:absolute;flip:x;visibility:visible;mso-wrap-style:square" from="6151,10957" to="7390,1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6" o:spid="_x0000_s1031" style="position:absolute;flip:x;visibility:visible;mso-wrap-style:square" from="6151,13217" to="7390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7" o:spid="_x0000_s1032" style="position:absolute;flip:x;visibility:visible;mso-wrap-style:square" from="3673,13201" to="4912,1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EyLsAAADaAAAADwAAAGRycy9kb3ducmV2LnhtbERPSwrCMBDdC94hjOBOU12IVKOIIoqC&#10;4OcAQzO2wWZSmlirpzcLweXj/efL1paiodobxwpGwwQEcea04VzB7bodTEH4gKyxdEwK3uRhueh2&#10;5phq9+IzNZeQixjCPkUFRQhVKqXPCrLoh64ijtzd1RZDhHUudY2vGG5LOU6SibRoODYUWNG6oOxx&#10;eVoF4fjZGdOc9OHNzcfT+bDB20Spfq9dzUAEasNf/HPvtYK4NV6JN0A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C8TIuwAAANoAAAAPAAAAAAAAAAAAAAAAAKECAABk&#10;cnMvZG93bnJldi54bWxQSwUGAAAAAAQABAD5AAAAiQMAAAAA&#10;">
                  <v:stroke dashstyle="1 1"/>
                </v:line>
                <v:line id="Line 9" o:spid="_x0000_s1033" style="position:absolute;flip:y;visibility:visible;mso-wrap-style:square" from="7401,10951" to="7401,13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4" style="position:absolute;flip:x;visibility:visible;mso-wrap-style:square" from="4906,10951" to="7401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4873;top:10532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1040B" w:rsidRDefault="0071040B">
                        <w:r>
                          <w:t>59.5</w:t>
                        </w:r>
                      </w:p>
                    </w:txbxContent>
                  </v:textbox>
                </v:shape>
                <v:shape id="Text Box 12" o:spid="_x0000_s1036" type="#_x0000_t202" style="position:absolute;left:6755;top:10537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1040B" w:rsidRDefault="0071040B">
                        <w:r>
                          <w:t>64.3</w:t>
                        </w:r>
                      </w:p>
                    </w:txbxContent>
                  </v:textbox>
                </v:shape>
                <v:shape id="Text Box 13" o:spid="_x0000_s1037" type="#_x0000_t202" style="position:absolute;left:4929;top:12782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1040B" w:rsidRDefault="0071040B">
                        <w:r>
                          <w:t>58.0</w:t>
                        </w:r>
                      </w:p>
                    </w:txbxContent>
                  </v:textbox>
                </v:shape>
                <v:shape id="Text Box 14" o:spid="_x0000_s1038" type="#_x0000_t202" style="position:absolute;left:5537;top:11330;width:7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1040B" w:rsidRDefault="0071040B">
                        <w:r>
                          <w:t>59.8</w:t>
                        </w:r>
                      </w:p>
                    </w:txbxContent>
                  </v:textbox>
                </v:shape>
                <v:shape id="Text Box 15" o:spid="_x0000_s1039" type="#_x0000_t202" style="position:absolute;left:4019;top:11353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1040B" w:rsidRDefault="0071040B">
                        <w:r>
                          <w:t>52.6</w:t>
                        </w:r>
                      </w:p>
                    </w:txbxContent>
                  </v:textbox>
                </v:shape>
                <v:shape id="Text Box 16" o:spid="_x0000_s1040" type="#_x0000_t202" style="position:absolute;left:3974;top:13601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1040B" w:rsidRDefault="0071040B">
                        <w:r>
                          <w:t>50.0</w:t>
                        </w:r>
                      </w:p>
                    </w:txbxContent>
                  </v:textbox>
                </v:shape>
                <v:shape id="Text Box 17" o:spid="_x0000_s1041" type="#_x0000_t202" style="position:absolute;left:5403;top:13607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1040B" w:rsidRDefault="0071040B">
                        <w:r>
                          <w:t>56.4</w:t>
                        </w:r>
                      </w:p>
                    </w:txbxContent>
                  </v:textbox>
                </v:shape>
                <v:shape id="Text Box 18" o:spid="_x0000_s1042" type="#_x0000_t202" style="position:absolute;left:6647;top:12810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1040B" w:rsidRDefault="0071040B">
                        <w:r>
                          <w:t>62.7</w:t>
                        </w:r>
                      </w:p>
                    </w:txbxContent>
                  </v:textbox>
                </v:shape>
                <v:shape id="Text Box 20" o:spid="_x0000_s1043" type="#_x0000_t202" style="position:absolute;left:2412;top:12340;width:1440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1040B" w:rsidRDefault="0071040B">
                        <w:pPr>
                          <w:pStyle w:val="Heading1"/>
                        </w:pPr>
                        <w:r>
                          <w:t>Envelope</w:t>
                        </w:r>
                      </w:p>
                    </w:txbxContent>
                  </v:textbox>
                </v:shape>
                <v:shape id="Text Box 21" o:spid="_x0000_s1044" type="#_x0000_t202" style="position:absolute;left:4427;top:14171;width:1005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1040B" w:rsidRDefault="0071040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Letter</w:t>
                        </w:r>
                      </w:p>
                    </w:txbxContent>
                  </v:textbox>
                </v:shape>
                <v:shape id="Text Box 22" o:spid="_x0000_s1045" type="#_x0000_t202" style="position:absolute;left:6945;top:13456;width:1440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1040B" w:rsidRDefault="0071040B">
                        <w:pPr>
                          <w:pStyle w:val="Heading1"/>
                        </w:pPr>
                        <w:r>
                          <w:t>Postcard</w:t>
                        </w:r>
                      </w:p>
                    </w:txbxContent>
                  </v:textbox>
                </v:shape>
                <v:shape id="Text Box 23" o:spid="_x0000_s1046" type="#_x0000_t202" style="position:absolute;left:2985;top:11593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1040B" w:rsidRDefault="0071040B">
                        <w:r>
                          <w:t>Yes</w:t>
                        </w:r>
                      </w:p>
                    </w:txbxContent>
                  </v:textbox>
                </v:shape>
                <v:shape id="Text Box 24" o:spid="_x0000_s1047" type="#_x0000_t202" style="position:absolute;left:3109;top:13659;width:586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71040B" w:rsidRDefault="0071040B">
                        <w:r>
                          <w:t>No</w:t>
                        </w:r>
                      </w:p>
                    </w:txbxContent>
                  </v:textbox>
                </v:shape>
                <v:shape id="Text Box 25" o:spid="_x0000_s1048" type="#_x0000_t202" style="position:absolute;left:3517;top:13999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1040B" w:rsidRDefault="0071040B">
                        <w:r>
                          <w:t>No</w:t>
                        </w:r>
                      </w:p>
                    </w:txbxContent>
                  </v:textbox>
                </v:shape>
                <v:shape id="Text Box 26" o:spid="_x0000_s1049" type="#_x0000_t202" style="position:absolute;left:5532;top:14004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1040B" w:rsidRDefault="0071040B">
                        <w:r>
                          <w:t>Yes</w:t>
                        </w:r>
                      </w:p>
                    </w:txbxContent>
                  </v:textbox>
                </v:shape>
                <v:shape id="Text Box 27" o:spid="_x0000_s1050" type="#_x0000_t202" style="position:absolute;left:6190;top:13843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1040B" w:rsidRDefault="0071040B">
                        <w:r>
                          <w:t>No</w:t>
                        </w:r>
                      </w:p>
                    </w:txbxContent>
                  </v:textbox>
                </v:shape>
                <v:shape id="Text Box 28" o:spid="_x0000_s1051" type="#_x0000_t202" style="position:absolute;left:7418;top:12961;width:8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1040B" w:rsidRDefault="0071040B"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  <w:sz w:val="20"/>
        </w:rPr>
      </w:pPr>
    </w:p>
    <w:p w:rsidR="0071040B" w:rsidRDefault="0071040B">
      <w:pPr>
        <w:ind w:left="720"/>
        <w:rPr>
          <w:noProof/>
        </w:rPr>
      </w:pPr>
    </w:p>
    <w:p w:rsidR="0071040B" w:rsidRDefault="0071040B">
      <w:pPr>
        <w:rPr>
          <w:noProof/>
        </w:rPr>
      </w:pPr>
      <w:r>
        <w:rPr>
          <w:noProof/>
        </w:rPr>
        <w:t>8.3</w:t>
      </w:r>
      <w:r>
        <w:rPr>
          <w:noProof/>
        </w:rPr>
        <w:tab/>
        <w:t>Callbacks and Two-Phase Sampling</w:t>
      </w:r>
    </w:p>
    <w:p w:rsidR="0071040B" w:rsidRDefault="0071040B">
      <w:pPr>
        <w:ind w:left="720"/>
        <w:rPr>
          <w:noProof/>
        </w:rPr>
      </w:pPr>
    </w:p>
    <w:p w:rsidR="0071040B" w:rsidRDefault="0071040B">
      <w:pPr>
        <w:numPr>
          <w:ilvl w:val="0"/>
          <w:numId w:val="2"/>
        </w:numPr>
        <w:rPr>
          <w:noProof/>
        </w:rPr>
      </w:pPr>
      <w:r>
        <w:rPr>
          <w:noProof/>
        </w:rPr>
        <w:t xml:space="preserve">Randomly sample </w:t>
      </w:r>
      <w:r>
        <w:rPr>
          <w:i/>
          <w:iCs/>
          <w:noProof/>
        </w:rPr>
        <w:t>n</w:t>
      </w:r>
      <w:r>
        <w:rPr>
          <w:noProof/>
        </w:rPr>
        <w:t xml:space="preserve"> elements in the population; </w:t>
      </w:r>
      <w:r>
        <w:rPr>
          <w:i/>
          <w:iCs/>
          <w:noProof/>
        </w:rPr>
        <w:t>n</w:t>
      </w:r>
      <w:r>
        <w:rPr>
          <w:i/>
          <w:iCs/>
          <w:noProof/>
          <w:vertAlign w:val="subscript"/>
        </w:rPr>
        <w:t>R</w:t>
      </w:r>
      <w:r>
        <w:rPr>
          <w:noProof/>
        </w:rPr>
        <w:t xml:space="preserve"> respond and </w:t>
      </w:r>
      <w:r>
        <w:rPr>
          <w:i/>
          <w:iCs/>
          <w:noProof/>
        </w:rPr>
        <w:t>n</w:t>
      </w:r>
      <w:r>
        <w:rPr>
          <w:i/>
          <w:iCs/>
          <w:noProof/>
          <w:vertAlign w:val="subscript"/>
        </w:rPr>
        <w:t>M</w:t>
      </w:r>
      <w:r>
        <w:rPr>
          <w:noProof/>
        </w:rPr>
        <w:t xml:space="preserve"> do not respond.</w:t>
      </w:r>
    </w:p>
    <w:p w:rsidR="0071040B" w:rsidRDefault="0071040B">
      <w:pPr>
        <w:numPr>
          <w:ilvl w:val="0"/>
          <w:numId w:val="2"/>
        </w:numPr>
        <w:rPr>
          <w:noProof/>
        </w:rPr>
      </w:pPr>
      <w:r>
        <w:rPr>
          <w:noProof/>
        </w:rPr>
        <w:t>Make a second call on a random subsample of 100</w:t>
      </w:r>
      <w:r>
        <w:rPr>
          <w:i/>
          <w:iCs/>
          <w:noProof/>
        </w:rPr>
        <w:t>v</w:t>
      </w:r>
      <w:r>
        <w:rPr>
          <w:noProof/>
        </w:rPr>
        <w:t xml:space="preserve">% of the </w:t>
      </w:r>
      <w:r>
        <w:rPr>
          <w:i/>
          <w:iCs/>
          <w:noProof/>
        </w:rPr>
        <w:t>n</w:t>
      </w:r>
      <w:r>
        <w:rPr>
          <w:i/>
          <w:iCs/>
          <w:noProof/>
          <w:vertAlign w:val="subscript"/>
        </w:rPr>
        <w:t>M</w:t>
      </w:r>
      <w:r>
        <w:rPr>
          <w:noProof/>
          <w:vertAlign w:val="subscript"/>
        </w:rPr>
        <w:t xml:space="preserve"> </w:t>
      </w:r>
      <w:r>
        <w:rPr>
          <w:noProof/>
        </w:rPr>
        <w:t xml:space="preserve"> nonrespondents in the sample, with the subsampling fraction of </w:t>
      </w:r>
      <w:r>
        <w:rPr>
          <w:i/>
          <w:iCs/>
          <w:noProof/>
        </w:rPr>
        <w:t>v</w:t>
      </w:r>
      <w:r>
        <w:rPr>
          <w:noProof/>
        </w:rPr>
        <w:t xml:space="preserve">.  </w:t>
      </w:r>
    </w:p>
    <w:p w:rsidR="0071040B" w:rsidRDefault="0071040B">
      <w:pPr>
        <w:rPr>
          <w:noProof/>
        </w:rPr>
      </w:pPr>
    </w:p>
    <w:p w:rsidR="0071040B" w:rsidRDefault="0071040B">
      <w:pPr>
        <w:ind w:left="720"/>
        <w:rPr>
          <w:noProof/>
        </w:rPr>
      </w:pPr>
      <w:r>
        <w:rPr>
          <w:noProof/>
        </w:rPr>
        <w:t>We could estimate the mean and total value of nonrespondents’ responses</w:t>
      </w:r>
    </w:p>
    <w:p w:rsidR="0071040B" w:rsidRDefault="0071040B">
      <w:pPr>
        <w:ind w:left="720"/>
        <w:rPr>
          <w:noProof/>
        </w:rPr>
      </w:pPr>
    </w:p>
    <w:p w:rsidR="0071040B" w:rsidRDefault="0071040B">
      <w:pPr>
        <w:ind w:left="720"/>
        <w:rPr>
          <w:noProof/>
        </w:rPr>
      </w:pPr>
      <w:r>
        <w:rPr>
          <w:noProof/>
          <w:position w:val="-24"/>
        </w:rPr>
        <w:object w:dxaOrig="1880" w:dyaOrig="620">
          <v:shape id="_x0000_i1032" type="#_x0000_t75" style="width:120.5pt;height:39.5pt" o:ole="">
            <v:imagedata r:id="rId19" o:title=""/>
          </v:shape>
          <o:OLEObject Type="Embed" ProgID="Equation.3" ShapeID="_x0000_i1032" DrawAspect="Content" ObjectID="_1713521257" r:id="rId20"/>
        </w:object>
      </w:r>
      <w:r>
        <w:rPr>
          <w:noProof/>
        </w:rPr>
        <w:tab/>
      </w:r>
      <w:r>
        <w:rPr>
          <w:noProof/>
          <w:position w:val="-10"/>
        </w:rPr>
        <w:object w:dxaOrig="780" w:dyaOrig="380">
          <v:shape id="_x0000_i1033" type="#_x0000_t75" style="width:39pt;height:19pt" o:ole="">
            <v:imagedata r:id="rId21" o:title=""/>
          </v:shape>
          <o:OLEObject Type="Embed" ProgID="Equation.3" ShapeID="_x0000_i1033" DrawAspect="Content" ObjectID="_1713521258" r:id="rId22"/>
        </w:object>
      </w:r>
    </w:p>
    <w:p w:rsidR="0071040B" w:rsidRDefault="0071040B">
      <w:pPr>
        <w:ind w:left="720"/>
        <w:rPr>
          <w:noProof/>
        </w:rPr>
      </w:pPr>
    </w:p>
    <w:p w:rsidR="0071040B" w:rsidRDefault="0071040B">
      <w:pPr>
        <w:ind w:left="720"/>
      </w:pPr>
    </w:p>
    <w:p w:rsidR="0071040B" w:rsidRDefault="0071040B">
      <w:r>
        <w:t>8.4</w:t>
      </w:r>
      <w:r>
        <w:tab/>
        <w:t>Mechanisms for Nonresponse</w:t>
      </w:r>
    </w:p>
    <w:p w:rsidR="0071040B" w:rsidRDefault="0071040B"/>
    <w:p w:rsidR="0071040B" w:rsidRDefault="0071040B">
      <w:pPr>
        <w:ind w:left="720"/>
      </w:pPr>
      <w:r>
        <w:t xml:space="preserve">Responding </w:t>
      </w:r>
      <w:proofErr w:type="gramStart"/>
      <w:r>
        <w:t>can be thought of</w:t>
      </w:r>
      <w:proofErr w:type="gramEnd"/>
      <w:r>
        <w:t xml:space="preserve"> as a random variable that takes on two values</w:t>
      </w:r>
    </w:p>
    <w:p w:rsidR="0071040B" w:rsidRDefault="0071040B">
      <w:pPr>
        <w:ind w:left="720"/>
      </w:pPr>
    </w:p>
    <w:tbl>
      <w:tblPr>
        <w:tblW w:w="8208" w:type="dxa"/>
        <w:tblInd w:w="720" w:type="dxa"/>
        <w:tblLook w:val="0000" w:firstRow="0" w:lastRow="0" w:firstColumn="0" w:lastColumn="0" w:noHBand="0" w:noVBand="0"/>
      </w:tblPr>
      <w:tblGrid>
        <w:gridCol w:w="648"/>
        <w:gridCol w:w="450"/>
        <w:gridCol w:w="7110"/>
      </w:tblGrid>
      <w:tr w:rsidR="0071040B">
        <w:trPr>
          <w:cantSplit/>
          <w:trHeight w:val="440"/>
        </w:trPr>
        <w:tc>
          <w:tcPr>
            <w:tcW w:w="648" w:type="dxa"/>
            <w:vMerge w:val="restart"/>
            <w:vAlign w:val="center"/>
          </w:tcPr>
          <w:p w:rsidR="0071040B" w:rsidRDefault="0071040B">
            <w:proofErr w:type="spellStart"/>
            <w:r>
              <w:rPr>
                <w:i/>
                <w:iCs/>
              </w:rPr>
              <w:t>R</w:t>
            </w:r>
            <w:r>
              <w:rPr>
                <w:i/>
                <w:iCs/>
                <w:vertAlign w:val="subscript"/>
              </w:rPr>
              <w:t>i</w:t>
            </w:r>
            <w:proofErr w:type="spellEnd"/>
            <w:r>
              <w:t xml:space="preserve"> =</w:t>
            </w:r>
          </w:p>
        </w:tc>
        <w:tc>
          <w:tcPr>
            <w:tcW w:w="450" w:type="dxa"/>
            <w:vMerge w:val="restart"/>
            <w:vAlign w:val="center"/>
          </w:tcPr>
          <w:p w:rsidR="0071040B" w:rsidRDefault="0059149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7620</wp:posOffset>
                      </wp:positionV>
                      <wp:extent cx="90805" cy="553720"/>
                      <wp:effectExtent l="7620" t="5080" r="6350" b="1270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leftBrace">
                                <a:avLst>
                                  <a:gd name="adj1" fmla="val 5081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A7D0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0" o:spid="_x0000_s1026" type="#_x0000_t87" style="position:absolute;margin-left:5.7pt;margin-top:.6pt;width:7.1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"/>
                  </w:pict>
                </mc:Fallback>
              </mc:AlternateContent>
            </w:r>
          </w:p>
        </w:tc>
        <w:tc>
          <w:tcPr>
            <w:tcW w:w="7110" w:type="dxa"/>
            <w:vAlign w:val="center"/>
          </w:tcPr>
          <w:p w:rsidR="0071040B" w:rsidRDefault="0071040B">
            <w:r>
              <w:t xml:space="preserve">1   if unit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 xml:space="preserve"> responds</w:t>
            </w:r>
          </w:p>
        </w:tc>
      </w:tr>
      <w:tr w:rsidR="0071040B">
        <w:trPr>
          <w:cantSplit/>
          <w:trHeight w:val="440"/>
        </w:trPr>
        <w:tc>
          <w:tcPr>
            <w:tcW w:w="648" w:type="dxa"/>
            <w:vMerge/>
            <w:vAlign w:val="center"/>
          </w:tcPr>
          <w:p w:rsidR="0071040B" w:rsidRDefault="0071040B"/>
        </w:tc>
        <w:tc>
          <w:tcPr>
            <w:tcW w:w="450" w:type="dxa"/>
            <w:vMerge/>
            <w:vAlign w:val="center"/>
          </w:tcPr>
          <w:p w:rsidR="0071040B" w:rsidRDefault="0071040B"/>
        </w:tc>
        <w:tc>
          <w:tcPr>
            <w:tcW w:w="7110" w:type="dxa"/>
            <w:vAlign w:val="center"/>
          </w:tcPr>
          <w:p w:rsidR="0071040B" w:rsidRDefault="0071040B">
            <w:r>
              <w:t xml:space="preserve">0   if unit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 xml:space="preserve"> does not respond</w:t>
            </w:r>
          </w:p>
        </w:tc>
      </w:tr>
    </w:tbl>
    <w:p w:rsidR="0071040B" w:rsidRDefault="0071040B">
      <w:pPr>
        <w:ind w:left="720"/>
      </w:pPr>
    </w:p>
    <w:p w:rsidR="0071040B" w:rsidRDefault="0071040B">
      <w:pPr>
        <w:ind w:left="720"/>
      </w:pPr>
      <w:r>
        <w:t xml:space="preserve">The probability that a unit selected for the sample will respond (propensity score for </w:t>
      </w:r>
      <w:proofErr w:type="spellStart"/>
      <w:proofErr w:type="gram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>
        <w:t>)</w:t>
      </w:r>
      <w:proofErr w:type="gramEnd"/>
    </w:p>
    <w:p w:rsidR="0071040B" w:rsidRDefault="0071040B">
      <w:pPr>
        <w:ind w:left="720"/>
      </w:pPr>
    </w:p>
    <w:p w:rsidR="0071040B" w:rsidRDefault="0071040B">
      <w:pPr>
        <w:ind w:left="720"/>
      </w:pPr>
      <w:r>
        <w:tab/>
      </w:r>
      <w:r>
        <w:rPr>
          <w:position w:val="-12"/>
        </w:rPr>
        <w:object w:dxaOrig="1380" w:dyaOrig="360">
          <v:shape id="_x0000_i1034" type="#_x0000_t75" style="width:81.5pt;height:21.5pt" o:ole="">
            <v:imagedata r:id="rId23" o:title=""/>
          </v:shape>
          <o:OLEObject Type="Embed" ProgID="Equation.3" ShapeID="_x0000_i1034" DrawAspect="Content" ObjectID="_1713521259" r:id="rId24"/>
        </w:object>
      </w:r>
    </w:p>
    <w:p w:rsidR="0071040B" w:rsidRDefault="0071040B">
      <w:pPr>
        <w:ind w:left="720"/>
      </w:pPr>
    </w:p>
    <w:p w:rsidR="0071040B" w:rsidRDefault="0071040B">
      <w:pPr>
        <w:ind w:left="720"/>
      </w:pPr>
      <w:r>
        <w:t xml:space="preserve">In all </w:t>
      </w:r>
      <w:proofErr w:type="gramStart"/>
      <w:r>
        <w:t>model based</w:t>
      </w:r>
      <w:proofErr w:type="gramEnd"/>
      <w:r>
        <w:t xml:space="preserve"> approaches to dealing with nonresponse, </w:t>
      </w:r>
      <w:proofErr w:type="spellStart"/>
      <w:r>
        <w:rPr>
          <w:i/>
          <w:iCs/>
        </w:rPr>
        <w:t>y</w:t>
      </w:r>
      <w:r>
        <w:rPr>
          <w:i/>
          <w:iCs/>
          <w:vertAlign w:val="subscript"/>
        </w:rPr>
        <w:t>i</w:t>
      </w:r>
      <w:proofErr w:type="spellEnd"/>
      <w:r>
        <w:t xml:space="preserve"> is a response of interest, </w:t>
      </w:r>
      <w:r>
        <w:rPr>
          <w:b/>
          <w:bCs/>
        </w:rPr>
        <w:t>x</w:t>
      </w:r>
      <w:r>
        <w:rPr>
          <w:i/>
          <w:iCs/>
          <w:vertAlign w:val="subscript"/>
        </w:rPr>
        <w:t>i</w:t>
      </w:r>
      <w:r>
        <w:t xml:space="preserve"> is a vector of information know about element </w:t>
      </w:r>
      <w:proofErr w:type="spellStart"/>
      <w:r>
        <w:rPr>
          <w:i/>
          <w:iCs/>
        </w:rPr>
        <w:t>i</w:t>
      </w:r>
      <w:proofErr w:type="spellEnd"/>
      <w:r>
        <w:t xml:space="preserve"> in the sample.  Information used in the survey design is also included in </w:t>
      </w:r>
      <w:r>
        <w:rPr>
          <w:b/>
          <w:bCs/>
        </w:rPr>
        <w:t>x</w:t>
      </w:r>
      <w:r>
        <w:rPr>
          <w:i/>
          <w:iCs/>
          <w:vertAlign w:val="subscript"/>
        </w:rPr>
        <w:t>i</w:t>
      </w:r>
      <w:r>
        <w:t>.</w:t>
      </w:r>
    </w:p>
    <w:p w:rsidR="0071040B" w:rsidRDefault="0071040B">
      <w:pPr>
        <w:ind w:left="720"/>
      </w:pPr>
    </w:p>
    <w:p w:rsidR="0071040B" w:rsidRDefault="0071040B">
      <w:pPr>
        <w:ind w:left="720"/>
      </w:pPr>
      <w:proofErr w:type="gramStart"/>
      <w:r>
        <w:t>a.  Missing</w:t>
      </w:r>
      <w:proofErr w:type="gramEnd"/>
      <w:r>
        <w:t xml:space="preserve"> completely at random</w:t>
      </w:r>
    </w:p>
    <w:p w:rsidR="0071040B" w:rsidRDefault="0071040B">
      <w:pPr>
        <w:ind w:left="720"/>
      </w:pPr>
      <w:r>
        <w:tab/>
        <w:t xml:space="preserve">Where </w:t>
      </w:r>
      <w:r>
        <w:sym w:font="Symbol" w:char="F066"/>
      </w:r>
      <w:r>
        <w:t xml:space="preserve"> does not depend on </w:t>
      </w:r>
      <w:r>
        <w:rPr>
          <w:b/>
          <w:bCs/>
        </w:rPr>
        <w:t>x</w:t>
      </w:r>
      <w:r>
        <w:rPr>
          <w:i/>
          <w:iCs/>
          <w:vertAlign w:val="subscript"/>
        </w:rPr>
        <w:t>i</w:t>
      </w:r>
      <w:r>
        <w:t xml:space="preserve">, </w:t>
      </w:r>
      <w:proofErr w:type="spellStart"/>
      <w:r>
        <w:rPr>
          <w:i/>
          <w:iCs/>
        </w:rPr>
        <w:t>y</w:t>
      </w:r>
      <w:r>
        <w:rPr>
          <w:i/>
          <w:iCs/>
          <w:vertAlign w:val="subscript"/>
        </w:rPr>
        <w:t>i</w:t>
      </w:r>
      <w:proofErr w:type="spellEnd"/>
      <w:r>
        <w:t>, or the survey design.</w:t>
      </w:r>
    </w:p>
    <w:p w:rsidR="0071040B" w:rsidRDefault="0071040B">
      <w:pPr>
        <w:ind w:left="720"/>
      </w:pPr>
      <w:r>
        <w:tab/>
        <w:t>The respondents are representative of the selected sample.</w:t>
      </w:r>
    </w:p>
    <w:p w:rsidR="0071040B" w:rsidRDefault="0071040B">
      <w:pPr>
        <w:ind w:left="720"/>
      </w:pPr>
      <w:r>
        <w:tab/>
        <w:t xml:space="preserve">When nonresponse </w:t>
      </w:r>
      <w:proofErr w:type="gramStart"/>
      <w:r>
        <w:t>is ignored</w:t>
      </w:r>
      <w:proofErr w:type="gramEnd"/>
      <w:r>
        <w:t>, the MCAR mechanism is implicitly adopted.</w:t>
      </w:r>
    </w:p>
    <w:p w:rsidR="0071040B" w:rsidRDefault="0071040B">
      <w:pPr>
        <w:ind w:left="720"/>
      </w:pPr>
    </w:p>
    <w:p w:rsidR="0071040B" w:rsidRDefault="0071040B">
      <w:pPr>
        <w:ind w:left="720"/>
      </w:pPr>
      <w:proofErr w:type="gramStart"/>
      <w:r>
        <w:t>b.  Missing</w:t>
      </w:r>
      <w:proofErr w:type="gramEnd"/>
      <w:r>
        <w:t xml:space="preserve"> at random given covariates (Ignorable nonresponse)</w:t>
      </w:r>
    </w:p>
    <w:p w:rsidR="0071040B" w:rsidRDefault="0071040B">
      <w:pPr>
        <w:ind w:left="720"/>
      </w:pPr>
      <w:r>
        <w:tab/>
        <w:t xml:space="preserve">If </w:t>
      </w:r>
      <w:r>
        <w:sym w:font="Symbol" w:char="F066"/>
      </w:r>
      <w:r>
        <w:t xml:space="preserve"> depends on </w:t>
      </w:r>
      <w:r>
        <w:rPr>
          <w:b/>
          <w:bCs/>
        </w:rPr>
        <w:t>x</w:t>
      </w:r>
      <w:r>
        <w:rPr>
          <w:i/>
          <w:iCs/>
          <w:vertAlign w:val="subscript"/>
        </w:rPr>
        <w:t>i</w:t>
      </w:r>
      <w:r>
        <w:t xml:space="preserve"> but not on </w:t>
      </w:r>
      <w:proofErr w:type="spellStart"/>
      <w:r>
        <w:rPr>
          <w:i/>
          <w:iCs/>
        </w:rPr>
        <w:t>y</w:t>
      </w:r>
      <w:r>
        <w:rPr>
          <w:i/>
          <w:iCs/>
          <w:vertAlign w:val="subscript"/>
        </w:rPr>
        <w:t>i</w:t>
      </w:r>
      <w:proofErr w:type="spellEnd"/>
      <w:r>
        <w:t>, the data are missing at random.</w:t>
      </w:r>
    </w:p>
    <w:p w:rsidR="0071040B" w:rsidRDefault="0071040B">
      <w:pPr>
        <w:ind w:left="720"/>
      </w:pPr>
      <w:r>
        <w:tab/>
        <w:t>The nonresponse depends only on observed variables.</w:t>
      </w:r>
    </w:p>
    <w:p w:rsidR="0071040B" w:rsidRDefault="0071040B">
      <w:pPr>
        <w:ind w:left="720"/>
      </w:pPr>
      <w:r>
        <w:tab/>
        <w:t xml:space="preserve">Since we know the values of </w:t>
      </w:r>
      <w:proofErr w:type="gramStart"/>
      <w:r>
        <w:rPr>
          <w:b/>
          <w:bCs/>
        </w:rPr>
        <w:t>x</w:t>
      </w:r>
      <w:r>
        <w:rPr>
          <w:i/>
          <w:iCs/>
          <w:vertAlign w:val="subscript"/>
        </w:rPr>
        <w:t>i</w:t>
      </w:r>
      <w:proofErr w:type="gramEnd"/>
      <w:r>
        <w:t xml:space="preserve"> we can successfully model the nonresponse.</w:t>
      </w:r>
    </w:p>
    <w:p w:rsidR="0071040B" w:rsidRDefault="0071040B">
      <w:pPr>
        <w:ind w:left="720"/>
      </w:pPr>
      <w:r>
        <w:tab/>
      </w:r>
    </w:p>
    <w:p w:rsidR="0071040B" w:rsidRDefault="0071040B">
      <w:pPr>
        <w:ind w:left="720"/>
      </w:pPr>
    </w:p>
    <w:p w:rsidR="0071040B" w:rsidRDefault="0071040B">
      <w:pPr>
        <w:ind w:left="720"/>
      </w:pPr>
      <w:proofErr w:type="gramStart"/>
      <w:r>
        <w:t xml:space="preserve">c.  </w:t>
      </w:r>
      <w:proofErr w:type="spellStart"/>
      <w:r>
        <w:t>Nonignorable</w:t>
      </w:r>
      <w:proofErr w:type="spellEnd"/>
      <w:proofErr w:type="gramEnd"/>
      <w:r>
        <w:t xml:space="preserve"> Nonresponse</w:t>
      </w:r>
    </w:p>
    <w:p w:rsidR="0071040B" w:rsidRDefault="0071040B">
      <w:pPr>
        <w:ind w:left="720"/>
      </w:pPr>
    </w:p>
    <w:p w:rsidR="0071040B" w:rsidRDefault="0071040B">
      <w:pPr>
        <w:ind w:left="720"/>
      </w:pPr>
      <w:r>
        <w:tab/>
        <w:t xml:space="preserve">If the probability of nonresponse depends on the value of a response variable and cannot be completely explained by the values of the </w:t>
      </w:r>
      <w:r>
        <w:rPr>
          <w:b/>
          <w:bCs/>
        </w:rPr>
        <w:t>x</w:t>
      </w:r>
      <w:r>
        <w:t>’s</w:t>
      </w:r>
    </w:p>
    <w:p w:rsidR="0071040B" w:rsidRPr="009E363C" w:rsidRDefault="001E23C7">
      <w:r>
        <w:br w:type="page"/>
      </w:r>
      <w:r w:rsidRPr="009E363C">
        <w:lastRenderedPageBreak/>
        <w:t>Imputation</w:t>
      </w:r>
    </w:p>
    <w:p w:rsidR="001E23C7" w:rsidRPr="009E363C" w:rsidRDefault="001E23C7"/>
    <w:p w:rsidR="001E23C7" w:rsidRPr="009E363C" w:rsidRDefault="003569A8" w:rsidP="003569A8">
      <w:pPr>
        <w:numPr>
          <w:ilvl w:val="0"/>
          <w:numId w:val="4"/>
        </w:numPr>
      </w:pPr>
      <w:r w:rsidRPr="009E363C">
        <w:t>Deductive imputation</w:t>
      </w:r>
    </w:p>
    <w:p w:rsidR="003569A8" w:rsidRPr="009E363C" w:rsidRDefault="003569A8" w:rsidP="003569A8">
      <w:pPr>
        <w:ind w:left="720"/>
      </w:pPr>
      <w:r w:rsidRPr="009E363C">
        <w:t>Logic defines the missing value</w:t>
      </w:r>
    </w:p>
    <w:p w:rsidR="003569A8" w:rsidRPr="009E363C" w:rsidRDefault="003569A8" w:rsidP="003569A8">
      <w:pPr>
        <w:ind w:left="720"/>
      </w:pPr>
    </w:p>
    <w:p w:rsidR="003569A8" w:rsidRPr="009E363C" w:rsidRDefault="003569A8" w:rsidP="003569A8">
      <w:pPr>
        <w:numPr>
          <w:ilvl w:val="0"/>
          <w:numId w:val="4"/>
        </w:numPr>
      </w:pPr>
      <w:r w:rsidRPr="009E363C">
        <w:t>Cell mean imputation (not recommended)</w:t>
      </w:r>
    </w:p>
    <w:p w:rsidR="003569A8" w:rsidRPr="009E363C" w:rsidRDefault="003569A8" w:rsidP="003569A8">
      <w:pPr>
        <w:ind w:left="720"/>
      </w:pPr>
      <w:r w:rsidRPr="009E363C">
        <w:t>Artificially reduces variability</w:t>
      </w:r>
    </w:p>
    <w:p w:rsidR="003569A8" w:rsidRPr="009E363C" w:rsidRDefault="003569A8" w:rsidP="003569A8">
      <w:pPr>
        <w:ind w:left="720"/>
      </w:pPr>
      <w:r w:rsidRPr="009E363C">
        <w:t>Changes associations between variables</w:t>
      </w:r>
    </w:p>
    <w:p w:rsidR="003569A8" w:rsidRPr="009E363C" w:rsidRDefault="003569A8" w:rsidP="003569A8">
      <w:pPr>
        <w:ind w:left="720"/>
      </w:pPr>
    </w:p>
    <w:p w:rsidR="003569A8" w:rsidRPr="009E363C" w:rsidRDefault="003569A8" w:rsidP="003569A8">
      <w:pPr>
        <w:numPr>
          <w:ilvl w:val="0"/>
          <w:numId w:val="4"/>
        </w:numPr>
      </w:pPr>
      <w:r w:rsidRPr="009E363C">
        <w:t>Hot Deck Imputation</w:t>
      </w:r>
    </w:p>
    <w:p w:rsidR="003569A8" w:rsidRPr="009E363C" w:rsidRDefault="003569A8" w:rsidP="003569A8">
      <w:pPr>
        <w:ind w:left="720"/>
      </w:pPr>
      <w:r w:rsidRPr="009E363C">
        <w:t xml:space="preserve">Elements </w:t>
      </w:r>
      <w:proofErr w:type="gramStart"/>
      <w:r w:rsidRPr="009E363C">
        <w:t>are divided</w:t>
      </w:r>
      <w:proofErr w:type="gramEnd"/>
      <w:r w:rsidRPr="009E363C">
        <w:t xml:space="preserve"> into classes</w:t>
      </w:r>
    </w:p>
    <w:p w:rsidR="003569A8" w:rsidRPr="009E363C" w:rsidRDefault="003569A8" w:rsidP="003569A8">
      <w:pPr>
        <w:ind w:left="720"/>
      </w:pPr>
      <w:r w:rsidRPr="009E363C">
        <w:t xml:space="preserve">Values from one responding element </w:t>
      </w:r>
      <w:proofErr w:type="gramStart"/>
      <w:r w:rsidRPr="009E363C">
        <w:t>are substituted</w:t>
      </w:r>
      <w:proofErr w:type="gramEnd"/>
      <w:r w:rsidRPr="009E363C">
        <w:t xml:space="preserve"> for each missing response</w:t>
      </w:r>
    </w:p>
    <w:p w:rsidR="003569A8" w:rsidRPr="009E363C" w:rsidRDefault="003569A8" w:rsidP="003569A8">
      <w:pPr>
        <w:numPr>
          <w:ilvl w:val="0"/>
          <w:numId w:val="5"/>
        </w:numPr>
      </w:pPr>
      <w:r w:rsidRPr="009E363C">
        <w:t>Sequential</w:t>
      </w:r>
    </w:p>
    <w:p w:rsidR="003569A8" w:rsidRPr="009E363C" w:rsidRDefault="003569A8" w:rsidP="003569A8">
      <w:pPr>
        <w:ind w:left="1080"/>
      </w:pPr>
      <w:r w:rsidRPr="009E363C">
        <w:t>Previous response in a given subclass is used</w:t>
      </w:r>
    </w:p>
    <w:p w:rsidR="003569A8" w:rsidRPr="009E363C" w:rsidRDefault="003569A8" w:rsidP="003569A8">
      <w:pPr>
        <w:numPr>
          <w:ilvl w:val="0"/>
          <w:numId w:val="5"/>
        </w:numPr>
      </w:pPr>
      <w:r w:rsidRPr="009E363C">
        <w:t>Random</w:t>
      </w:r>
    </w:p>
    <w:p w:rsidR="003569A8" w:rsidRPr="009E363C" w:rsidRDefault="003569A8" w:rsidP="003569A8">
      <w:pPr>
        <w:ind w:left="1080"/>
      </w:pPr>
      <w:r w:rsidRPr="009E363C">
        <w:t xml:space="preserve">Donor </w:t>
      </w:r>
      <w:proofErr w:type="gramStart"/>
      <w:r w:rsidRPr="009E363C">
        <w:t>is randomly selected</w:t>
      </w:r>
      <w:proofErr w:type="gramEnd"/>
    </w:p>
    <w:p w:rsidR="003569A8" w:rsidRPr="009E363C" w:rsidRDefault="003569A8" w:rsidP="003569A8">
      <w:pPr>
        <w:numPr>
          <w:ilvl w:val="0"/>
          <w:numId w:val="5"/>
        </w:numPr>
      </w:pPr>
      <w:r w:rsidRPr="009E363C">
        <w:t>Nearest neighbor</w:t>
      </w:r>
    </w:p>
    <w:p w:rsidR="003569A8" w:rsidRPr="009E363C" w:rsidRDefault="003569A8" w:rsidP="003569A8">
      <w:pPr>
        <w:ind w:left="1080"/>
      </w:pPr>
      <w:r w:rsidRPr="009E363C">
        <w:t>Closest in terms of preselected characteristics</w:t>
      </w:r>
    </w:p>
    <w:p w:rsidR="003569A8" w:rsidRPr="009E363C" w:rsidRDefault="003569A8" w:rsidP="003569A8">
      <w:pPr>
        <w:ind w:left="1080"/>
      </w:pPr>
    </w:p>
    <w:p w:rsidR="003569A8" w:rsidRPr="009E363C" w:rsidRDefault="003569A8" w:rsidP="003569A8">
      <w:pPr>
        <w:numPr>
          <w:ilvl w:val="0"/>
          <w:numId w:val="4"/>
        </w:numPr>
      </w:pPr>
      <w:r w:rsidRPr="009E363C">
        <w:t>Regression Imputation</w:t>
      </w:r>
      <w:r w:rsidR="000F3EE2" w:rsidRPr="009E363C">
        <w:t xml:space="preserve"> (recommended)</w:t>
      </w:r>
    </w:p>
    <w:p w:rsidR="003569A8" w:rsidRPr="009E363C" w:rsidRDefault="000F3EE2" w:rsidP="003569A8">
      <w:pPr>
        <w:ind w:left="720"/>
      </w:pPr>
      <w:r w:rsidRPr="009E363C">
        <w:t xml:space="preserve">Predict the missing </w:t>
      </w:r>
      <w:bookmarkStart w:id="0" w:name="_GoBack"/>
      <w:bookmarkEnd w:id="0"/>
      <w:r w:rsidRPr="009E363C">
        <w:t xml:space="preserve">value from responses to questions that </w:t>
      </w:r>
      <w:proofErr w:type="gramStart"/>
      <w:r w:rsidRPr="009E363C">
        <w:t>were answered</w:t>
      </w:r>
      <w:proofErr w:type="gramEnd"/>
      <w:r w:rsidRPr="009E363C">
        <w:t xml:space="preserve"> by all (or nearly all) persons</w:t>
      </w:r>
    </w:p>
    <w:p w:rsidR="000F3EE2" w:rsidRPr="009E363C" w:rsidRDefault="000F3EE2" w:rsidP="003569A8">
      <w:pPr>
        <w:ind w:left="720"/>
      </w:pPr>
      <w:r w:rsidRPr="009E363C">
        <w:t>Use the predicted value PLUS a randomly generated error term (to maintain original variability in responses) – based on the standard error of estimate.</w:t>
      </w:r>
    </w:p>
    <w:p w:rsidR="000F3EE2" w:rsidRPr="009E363C" w:rsidRDefault="000F3EE2" w:rsidP="003569A8">
      <w:pPr>
        <w:ind w:left="720"/>
      </w:pPr>
    </w:p>
    <w:p w:rsidR="000F3EE2" w:rsidRPr="009E363C" w:rsidRDefault="000F3EE2" w:rsidP="000F3EE2">
      <w:pPr>
        <w:numPr>
          <w:ilvl w:val="0"/>
          <w:numId w:val="4"/>
        </w:numPr>
      </w:pPr>
      <w:r w:rsidRPr="009E363C">
        <w:t>Substitution</w:t>
      </w:r>
    </w:p>
    <w:p w:rsidR="000F3EE2" w:rsidRPr="009E363C" w:rsidRDefault="000F3EE2" w:rsidP="000F3EE2">
      <w:pPr>
        <w:ind w:left="720"/>
      </w:pPr>
      <w:r w:rsidRPr="009E363C">
        <w:t xml:space="preserve">Replacing the case with </w:t>
      </w:r>
      <w:proofErr w:type="spellStart"/>
      <w:r w:rsidRPr="009E363C">
        <w:t>missingness</w:t>
      </w:r>
      <w:proofErr w:type="spellEnd"/>
      <w:r w:rsidRPr="009E363C">
        <w:t xml:space="preserve"> completely</w:t>
      </w:r>
    </w:p>
    <w:p w:rsidR="000F3EE2" w:rsidRPr="009E363C" w:rsidRDefault="000F3EE2" w:rsidP="000F3EE2">
      <w:pPr>
        <w:ind w:left="720"/>
      </w:pPr>
    </w:p>
    <w:p w:rsidR="000F3EE2" w:rsidRPr="009E363C" w:rsidRDefault="000F3EE2" w:rsidP="000F3EE2">
      <w:pPr>
        <w:numPr>
          <w:ilvl w:val="0"/>
          <w:numId w:val="4"/>
        </w:numPr>
      </w:pPr>
      <w:r w:rsidRPr="009E363C">
        <w:t>Multiple imputation</w:t>
      </w:r>
    </w:p>
    <w:p w:rsidR="000F3EE2" w:rsidRPr="009E363C" w:rsidRDefault="000F3EE2" w:rsidP="000F3EE2"/>
    <w:p w:rsidR="000855A5" w:rsidRPr="009E363C" w:rsidRDefault="000855A5" w:rsidP="001E23C7"/>
    <w:sectPr w:rsidR="000855A5" w:rsidRPr="009E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F1E"/>
    <w:multiLevelType w:val="hybridMultilevel"/>
    <w:tmpl w:val="2C70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CB0"/>
    <w:multiLevelType w:val="hybridMultilevel"/>
    <w:tmpl w:val="7E4C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90B"/>
    <w:multiLevelType w:val="hybridMultilevel"/>
    <w:tmpl w:val="BDEECD2C"/>
    <w:lvl w:ilvl="0" w:tplc="FB7C53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EE2D3E"/>
    <w:multiLevelType w:val="multilevel"/>
    <w:tmpl w:val="D5C20F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3FE1E66"/>
    <w:multiLevelType w:val="hybridMultilevel"/>
    <w:tmpl w:val="222688BC"/>
    <w:lvl w:ilvl="0" w:tplc="D8E8F84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C7"/>
    <w:rsid w:val="000855A5"/>
    <w:rsid w:val="000F3EE2"/>
    <w:rsid w:val="001E23C7"/>
    <w:rsid w:val="00230F53"/>
    <w:rsid w:val="003569A8"/>
    <w:rsid w:val="003E56BE"/>
    <w:rsid w:val="00591495"/>
    <w:rsid w:val="0071040B"/>
    <w:rsid w:val="009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16E3-DB8A-48ED-9C29-B3C936D4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Michael C. Rodriguez</dc:creator>
  <cp:keywords/>
  <dc:description/>
  <cp:lastModifiedBy>Michael C Rodriguez</cp:lastModifiedBy>
  <cp:revision>3</cp:revision>
  <cp:lastPrinted>2000-12-06T20:26:00Z</cp:lastPrinted>
  <dcterms:created xsi:type="dcterms:W3CDTF">2015-11-19T03:29:00Z</dcterms:created>
  <dcterms:modified xsi:type="dcterms:W3CDTF">2022-05-08T18:21:00Z</dcterms:modified>
</cp:coreProperties>
</file>