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A6" w:rsidRDefault="000F41DE" w:rsidP="006426A6">
      <w:pPr>
        <w:pStyle w:val="Title"/>
      </w:pPr>
      <w:bookmarkStart w:id="0" w:name="_GoBack"/>
      <w:bookmarkEnd w:id="0"/>
      <w:r>
        <w:t xml:space="preserve">Advanced </w:t>
      </w:r>
      <w:r w:rsidR="00B6741C">
        <w:t>Survey Data Analysis</w:t>
      </w:r>
      <w:r>
        <w:t xml:space="preserve"> for Categorical and Rating Scale Data</w:t>
      </w:r>
    </w:p>
    <w:p w:rsidR="006426A6" w:rsidRDefault="006426A6" w:rsidP="006426A6">
      <w:pPr>
        <w:pStyle w:val="Title"/>
      </w:pPr>
      <w:r>
        <w:t xml:space="preserve">EPSY </w:t>
      </w:r>
      <w:r w:rsidR="000F41DE">
        <w:t>5245</w:t>
      </w:r>
    </w:p>
    <w:p w:rsidR="006426A6" w:rsidRDefault="00425CCC" w:rsidP="006426A6">
      <w:pPr>
        <w:pStyle w:val="Title"/>
        <w:rPr>
          <w:szCs w:val="24"/>
        </w:rPr>
      </w:pPr>
      <w:r>
        <w:rPr>
          <w:szCs w:val="24"/>
        </w:rPr>
        <w:t>Spring Semester,</w:t>
      </w:r>
      <w:r w:rsidR="002F2D35">
        <w:rPr>
          <w:szCs w:val="24"/>
        </w:rPr>
        <w:t xml:space="preserve"> </w:t>
      </w:r>
      <w:r w:rsidR="00685741">
        <w:rPr>
          <w:szCs w:val="24"/>
        </w:rPr>
        <w:t>2018</w:t>
      </w:r>
      <w:r w:rsidR="00BE2880">
        <w:rPr>
          <w:szCs w:val="24"/>
        </w:rPr>
        <w:t xml:space="preserve"> – TENTATIVE</w:t>
      </w:r>
    </w:p>
    <w:p w:rsidR="006426A6" w:rsidRDefault="00685741" w:rsidP="006426A6">
      <w:pPr>
        <w:pStyle w:val="Title"/>
        <w:rPr>
          <w:szCs w:val="24"/>
        </w:rPr>
      </w:pPr>
      <w:r>
        <w:rPr>
          <w:szCs w:val="24"/>
        </w:rPr>
        <w:t>Tuesdays</w:t>
      </w:r>
      <w:r w:rsidR="00A82904">
        <w:rPr>
          <w:szCs w:val="24"/>
        </w:rPr>
        <w:t xml:space="preserve">, </w:t>
      </w:r>
      <w:r>
        <w:rPr>
          <w:szCs w:val="24"/>
        </w:rPr>
        <w:t>4:40-7:20</w:t>
      </w:r>
    </w:p>
    <w:p w:rsidR="006426A6" w:rsidRDefault="006426A6" w:rsidP="00B824E4"/>
    <w:p w:rsidR="00B824E4" w:rsidRDefault="00B824E4" w:rsidP="00B824E4"/>
    <w:tbl>
      <w:tblPr>
        <w:tblW w:w="0" w:type="auto"/>
        <w:jc w:val="center"/>
        <w:tblLook w:val="0000" w:firstRow="0" w:lastRow="0" w:firstColumn="0" w:lastColumn="0" w:noHBand="0" w:noVBand="0"/>
      </w:tblPr>
      <w:tblGrid>
        <w:gridCol w:w="4406"/>
        <w:gridCol w:w="4727"/>
      </w:tblGrid>
      <w:tr w:rsidR="006426A6" w:rsidTr="00875CDC">
        <w:trPr>
          <w:jc w:val="center"/>
        </w:trPr>
        <w:tc>
          <w:tcPr>
            <w:tcW w:w="4406" w:type="dxa"/>
          </w:tcPr>
          <w:p w:rsidR="006426A6" w:rsidRDefault="006426A6" w:rsidP="001D7E47">
            <w:pPr>
              <w:pStyle w:val="NormalWeb"/>
              <w:spacing w:before="0" w:beforeAutospacing="0" w:after="0" w:afterAutospacing="0"/>
            </w:pPr>
            <w:r>
              <w:t>Instructor:  Michael C. Rodriguez</w:t>
            </w:r>
          </w:p>
        </w:tc>
        <w:tc>
          <w:tcPr>
            <w:tcW w:w="4727" w:type="dxa"/>
          </w:tcPr>
          <w:p w:rsidR="006426A6" w:rsidRDefault="006426A6" w:rsidP="002B5B7C">
            <w:pPr>
              <w:ind w:left="119"/>
            </w:pPr>
            <w:r>
              <w:t xml:space="preserve">Classroom:  </w:t>
            </w:r>
            <w:proofErr w:type="spellStart"/>
            <w:r w:rsidR="002B5B7C">
              <w:t>Peik</w:t>
            </w:r>
            <w:proofErr w:type="spellEnd"/>
            <w:r w:rsidR="002B5B7C">
              <w:t xml:space="preserve"> Hall 315</w:t>
            </w:r>
          </w:p>
        </w:tc>
      </w:tr>
      <w:tr w:rsidR="006426A6" w:rsidTr="00875CDC">
        <w:trPr>
          <w:jc w:val="center"/>
        </w:trPr>
        <w:tc>
          <w:tcPr>
            <w:tcW w:w="4406" w:type="dxa"/>
          </w:tcPr>
          <w:p w:rsidR="006426A6" w:rsidRDefault="006426A6" w:rsidP="001D7E47">
            <w:r>
              <w:t>Phone:  612-624-4324</w:t>
            </w:r>
          </w:p>
        </w:tc>
        <w:tc>
          <w:tcPr>
            <w:tcW w:w="4727" w:type="dxa"/>
          </w:tcPr>
          <w:p w:rsidR="006426A6" w:rsidRDefault="006426A6" w:rsidP="00A82904">
            <w:pPr>
              <w:ind w:left="119"/>
            </w:pPr>
            <w:r>
              <w:t xml:space="preserve">Office:  </w:t>
            </w:r>
            <w:r w:rsidR="00A82904">
              <w:t>170</w:t>
            </w:r>
            <w:r w:rsidR="003E3DCA">
              <w:t xml:space="preserve"> Education Sciences</w:t>
            </w:r>
          </w:p>
        </w:tc>
      </w:tr>
      <w:tr w:rsidR="006426A6" w:rsidTr="00875CDC">
        <w:trPr>
          <w:cantSplit/>
          <w:jc w:val="center"/>
        </w:trPr>
        <w:tc>
          <w:tcPr>
            <w:tcW w:w="4406" w:type="dxa"/>
          </w:tcPr>
          <w:p w:rsidR="006426A6" w:rsidRDefault="006426A6" w:rsidP="001D7E47">
            <w:r>
              <w:t>Email:  mcrdz@umn.edu</w:t>
            </w:r>
          </w:p>
        </w:tc>
        <w:tc>
          <w:tcPr>
            <w:tcW w:w="4727" w:type="dxa"/>
            <w:vMerge w:val="restart"/>
          </w:tcPr>
          <w:p w:rsidR="00460933" w:rsidRDefault="006426A6" w:rsidP="00460933">
            <w:pPr>
              <w:ind w:left="1599" w:hanging="1480"/>
            </w:pPr>
            <w:r>
              <w:t xml:space="preserve">Office Hours:  </w:t>
            </w:r>
            <w:r w:rsidR="002B5B7C">
              <w:t>Class Tuesdays</w:t>
            </w:r>
            <w:r w:rsidR="00460933">
              <w:t xml:space="preserve"> 2:00-4:00 </w:t>
            </w:r>
          </w:p>
          <w:p w:rsidR="006426A6" w:rsidRDefault="00460933" w:rsidP="00460933">
            <w:pPr>
              <w:ind w:left="1599"/>
            </w:pPr>
            <w:r>
              <w:t xml:space="preserve">or by </w:t>
            </w:r>
            <w:r w:rsidR="006426A6">
              <w:t>appointment</w:t>
            </w:r>
          </w:p>
        </w:tc>
      </w:tr>
      <w:tr w:rsidR="006426A6" w:rsidTr="00875CDC">
        <w:trPr>
          <w:cantSplit/>
          <w:jc w:val="center"/>
        </w:trPr>
        <w:tc>
          <w:tcPr>
            <w:tcW w:w="4406" w:type="dxa"/>
            <w:vAlign w:val="center"/>
          </w:tcPr>
          <w:p w:rsidR="006426A6" w:rsidRDefault="006426A6" w:rsidP="001D7E47">
            <w:r>
              <w:t>Web:  http://www.edmeasurement.net</w:t>
            </w:r>
          </w:p>
        </w:tc>
        <w:tc>
          <w:tcPr>
            <w:tcW w:w="4727" w:type="dxa"/>
            <w:vMerge/>
          </w:tcPr>
          <w:p w:rsidR="006426A6" w:rsidRDefault="006426A6" w:rsidP="001D7E47"/>
        </w:tc>
      </w:tr>
    </w:tbl>
    <w:p w:rsidR="006426A6" w:rsidRDefault="006426A6" w:rsidP="006426A6">
      <w:pPr>
        <w:ind w:left="360" w:hanging="360"/>
      </w:pPr>
    </w:p>
    <w:p w:rsidR="00B824E4" w:rsidRDefault="00B824E4" w:rsidP="006426A6">
      <w:pPr>
        <w:ind w:left="360" w:hanging="360"/>
      </w:pPr>
    </w:p>
    <w:p w:rsidR="00D33C3F" w:rsidRDefault="00D33C3F" w:rsidP="006426A6">
      <w:pPr>
        <w:ind w:left="360" w:hanging="360"/>
      </w:pPr>
    </w:p>
    <w:p w:rsidR="00B824E4" w:rsidRPr="00B824E4" w:rsidRDefault="00B824E4" w:rsidP="00B824E4">
      <w:pPr>
        <w:ind w:left="360" w:hanging="360"/>
      </w:pPr>
      <w:r w:rsidRPr="00B824E4">
        <w:rPr>
          <w:b/>
        </w:rPr>
        <w:t xml:space="preserve">Course Goals </w:t>
      </w:r>
    </w:p>
    <w:p w:rsidR="00B824E4" w:rsidRPr="00B824E4" w:rsidRDefault="00BC7F65" w:rsidP="00B824E4">
      <w:pPr>
        <w:ind w:left="360" w:hanging="360"/>
      </w:pPr>
      <w:r>
        <w:t>Students will be able to:</w:t>
      </w:r>
    </w:p>
    <w:p w:rsidR="00B824E4" w:rsidRPr="00B824E4" w:rsidRDefault="00B824E4" w:rsidP="00B824E4">
      <w:pPr>
        <w:numPr>
          <w:ilvl w:val="0"/>
          <w:numId w:val="3"/>
        </w:numPr>
      </w:pPr>
      <w:r w:rsidRPr="00B824E4">
        <w:t>Understand the unique characteristics of survey data;</w:t>
      </w:r>
    </w:p>
    <w:p w:rsidR="00B824E4" w:rsidRPr="00B824E4" w:rsidRDefault="00B824E4" w:rsidP="00B824E4">
      <w:pPr>
        <w:numPr>
          <w:ilvl w:val="0"/>
          <w:numId w:val="3"/>
        </w:numPr>
      </w:pPr>
      <w:r w:rsidRPr="00B824E4">
        <w:t>Distinguish between the statistical characteristics of interval and ordinal/nominal data;</w:t>
      </w:r>
    </w:p>
    <w:p w:rsidR="00B824E4" w:rsidRPr="00B824E4" w:rsidRDefault="00B824E4" w:rsidP="00B824E4">
      <w:pPr>
        <w:numPr>
          <w:ilvl w:val="0"/>
          <w:numId w:val="3"/>
        </w:numPr>
      </w:pPr>
      <w:r w:rsidRPr="00B824E4">
        <w:t>Analyze ordinal and nominal data in appropriate ways;</w:t>
      </w:r>
    </w:p>
    <w:p w:rsidR="00B824E4" w:rsidRPr="00B824E4" w:rsidRDefault="00B824E4" w:rsidP="00B824E4">
      <w:pPr>
        <w:numPr>
          <w:ilvl w:val="0"/>
          <w:numId w:val="3"/>
        </w:numPr>
      </w:pPr>
      <w:r w:rsidRPr="00B824E4">
        <w:t>Interpret results from survey data analyses appropriately;</w:t>
      </w:r>
    </w:p>
    <w:p w:rsidR="00B824E4" w:rsidRPr="00B824E4" w:rsidRDefault="00B824E4" w:rsidP="00B824E4">
      <w:pPr>
        <w:numPr>
          <w:ilvl w:val="0"/>
          <w:numId w:val="3"/>
        </w:numPr>
      </w:pPr>
      <w:r w:rsidRPr="00B824E4">
        <w:t>Develop reasonable and useful analysis plans for future survey projects;</w:t>
      </w:r>
    </w:p>
    <w:p w:rsidR="00B824E4" w:rsidRPr="00B824E4" w:rsidRDefault="00B824E4" w:rsidP="00B824E4">
      <w:pPr>
        <w:numPr>
          <w:ilvl w:val="0"/>
          <w:numId w:val="3"/>
        </w:numPr>
      </w:pPr>
      <w:r w:rsidRPr="00B824E4">
        <w:t xml:space="preserve">Identify appropriate and inappropriate uses and interpretations of </w:t>
      </w:r>
      <w:proofErr w:type="gramStart"/>
      <w:r w:rsidRPr="00B824E4">
        <w:t>survey data analysis results</w:t>
      </w:r>
      <w:proofErr w:type="gramEnd"/>
      <w:r w:rsidRPr="00B824E4">
        <w:t>.</w:t>
      </w:r>
    </w:p>
    <w:p w:rsidR="00B824E4" w:rsidRPr="00B824E4" w:rsidRDefault="00B824E4" w:rsidP="00B824E4">
      <w:pPr>
        <w:ind w:left="360" w:hanging="360"/>
      </w:pPr>
    </w:p>
    <w:p w:rsidR="00B824E4" w:rsidRPr="00B824E4" w:rsidRDefault="00B824E4" w:rsidP="00B824E4">
      <w:pPr>
        <w:ind w:left="360" w:hanging="360"/>
      </w:pPr>
    </w:p>
    <w:p w:rsidR="00B824E4" w:rsidRPr="00B824E4" w:rsidRDefault="00B824E4" w:rsidP="00B824E4">
      <w:pPr>
        <w:ind w:left="360" w:hanging="360"/>
      </w:pPr>
      <w:r w:rsidRPr="00B824E4">
        <w:rPr>
          <w:b/>
        </w:rPr>
        <w:t>Course Outline, Topics &amp; Assignments</w:t>
      </w:r>
      <w:r w:rsidR="0048469E">
        <w:rPr>
          <w:b/>
        </w:rPr>
        <w:t xml:space="preserve"> (readings listed at class website)</w:t>
      </w:r>
    </w:p>
    <w:p w:rsidR="00B824E4" w:rsidRPr="00B824E4" w:rsidRDefault="00B824E4" w:rsidP="00B824E4">
      <w:pPr>
        <w:ind w:left="360" w:hanging="360"/>
      </w:pPr>
    </w:p>
    <w:p w:rsidR="00B824E4" w:rsidRPr="00B824E4" w:rsidRDefault="00685741" w:rsidP="00F52921">
      <w:pPr>
        <w:tabs>
          <w:tab w:val="right" w:pos="9360"/>
        </w:tabs>
        <w:ind w:left="2160" w:hanging="2160"/>
      </w:pPr>
      <w:r>
        <w:t>February 6</w:t>
      </w:r>
      <w:r w:rsidR="00B824E4" w:rsidRPr="00B824E4">
        <w:t>:</w:t>
      </w:r>
      <w:r w:rsidR="00B824E4" w:rsidRPr="00B824E4">
        <w:tab/>
        <w:t>A</w:t>
      </w:r>
      <w:r w:rsidR="0048469E">
        <w:t xml:space="preserve"> basis for survey data analysis</w:t>
      </w:r>
    </w:p>
    <w:p w:rsidR="00B824E4" w:rsidRPr="00B824E4" w:rsidRDefault="00B824E4" w:rsidP="00F52921">
      <w:pPr>
        <w:tabs>
          <w:tab w:val="right" w:pos="9360"/>
        </w:tabs>
        <w:ind w:left="2160" w:hanging="2160"/>
      </w:pPr>
      <w:r w:rsidRPr="00B824E4">
        <w:tab/>
        <w:t>Levels of measurement and intended inferences</w:t>
      </w:r>
    </w:p>
    <w:p w:rsidR="00B824E4" w:rsidRPr="00B824E4" w:rsidRDefault="00B824E4" w:rsidP="00F52921">
      <w:pPr>
        <w:tabs>
          <w:tab w:val="right" w:pos="9360"/>
        </w:tabs>
        <w:ind w:left="2160" w:hanging="2160"/>
      </w:pPr>
      <w:r w:rsidRPr="00B824E4">
        <w:tab/>
      </w:r>
      <w:r w:rsidR="00554649">
        <w:t>Nominal &amp; Ordinal Data</w:t>
      </w:r>
    </w:p>
    <w:p w:rsidR="00B824E4" w:rsidRDefault="00B824E4" w:rsidP="00F52921">
      <w:pPr>
        <w:tabs>
          <w:tab w:val="right" w:pos="9360"/>
        </w:tabs>
        <w:ind w:left="2160" w:hanging="2160"/>
      </w:pPr>
    </w:p>
    <w:p w:rsidR="00B824E4" w:rsidRPr="00B824E4" w:rsidRDefault="00685741" w:rsidP="00F52921">
      <w:pPr>
        <w:tabs>
          <w:tab w:val="right" w:pos="9360"/>
        </w:tabs>
        <w:ind w:left="2160" w:hanging="2160"/>
      </w:pPr>
      <w:r>
        <w:t>Feb</w:t>
      </w:r>
      <w:r w:rsidR="00F52921">
        <w:t>ruary</w:t>
      </w:r>
      <w:r>
        <w:t xml:space="preserve"> 20</w:t>
      </w:r>
      <w:r w:rsidR="00B824E4" w:rsidRPr="00B824E4">
        <w:t>:</w:t>
      </w:r>
      <w:r>
        <w:tab/>
      </w:r>
      <w:r w:rsidR="00B824E4" w:rsidRPr="00B824E4">
        <w:t>Multivariate Methods, Factor Analysis, Cluster Analysis</w:t>
      </w:r>
    </w:p>
    <w:p w:rsidR="00B824E4" w:rsidRDefault="0048469E" w:rsidP="00F52921">
      <w:pPr>
        <w:tabs>
          <w:tab w:val="right" w:pos="9360"/>
        </w:tabs>
        <w:ind w:left="2160" w:hanging="2160"/>
      </w:pPr>
      <w:r>
        <w:tab/>
        <w:t>Assignment 1 Due</w:t>
      </w:r>
    </w:p>
    <w:p w:rsidR="0048469E" w:rsidRPr="00B824E4" w:rsidRDefault="0048469E" w:rsidP="00F52921">
      <w:pPr>
        <w:tabs>
          <w:tab w:val="right" w:pos="9360"/>
        </w:tabs>
        <w:ind w:left="2160" w:hanging="2160"/>
      </w:pPr>
    </w:p>
    <w:p w:rsidR="00A82904" w:rsidRPr="00B824E4" w:rsidRDefault="00F52921" w:rsidP="00F52921">
      <w:pPr>
        <w:tabs>
          <w:tab w:val="right" w:pos="9360"/>
        </w:tabs>
        <w:ind w:left="2160" w:hanging="2160"/>
      </w:pPr>
      <w:r>
        <w:t>February</w:t>
      </w:r>
      <w:r w:rsidR="00685741">
        <w:t xml:space="preserve"> 27</w:t>
      </w:r>
      <w:r w:rsidR="00A82904">
        <w:t>:</w:t>
      </w:r>
      <w:r w:rsidR="00B824E4" w:rsidRPr="00A82904">
        <w:tab/>
      </w:r>
      <w:r w:rsidR="00A82904" w:rsidRPr="00B824E4">
        <w:t>Rasch Scaling of Ordinal Data</w:t>
      </w:r>
    </w:p>
    <w:p w:rsidR="00A82904" w:rsidRPr="00B824E4" w:rsidRDefault="00A82904" w:rsidP="00F52921">
      <w:pPr>
        <w:tabs>
          <w:tab w:val="right" w:pos="9360"/>
        </w:tabs>
        <w:ind w:left="2160" w:hanging="2160"/>
      </w:pPr>
      <w:r w:rsidRPr="00B824E4">
        <w:tab/>
      </w:r>
      <w:r w:rsidR="0048469E">
        <w:t>Assignment 2 Due</w:t>
      </w:r>
    </w:p>
    <w:p w:rsidR="00685741" w:rsidRPr="00B824E4" w:rsidRDefault="00685741" w:rsidP="00F52921">
      <w:pPr>
        <w:tabs>
          <w:tab w:val="right" w:pos="9360"/>
        </w:tabs>
        <w:ind w:left="2160" w:hanging="2160"/>
      </w:pPr>
    </w:p>
    <w:p w:rsidR="00B824E4" w:rsidRPr="00B824E4" w:rsidRDefault="00685741" w:rsidP="00F52921">
      <w:pPr>
        <w:tabs>
          <w:tab w:val="right" w:pos="9360"/>
        </w:tabs>
        <w:ind w:left="2160" w:hanging="2160"/>
      </w:pPr>
      <w:r>
        <w:t>March 20</w:t>
      </w:r>
      <w:r w:rsidR="00554649">
        <w:t>:</w:t>
      </w:r>
      <w:r w:rsidR="00554649">
        <w:tab/>
      </w:r>
      <w:r w:rsidR="00B824E4" w:rsidRPr="00B824E4">
        <w:t>Multilevel modeling for survey data</w:t>
      </w:r>
    </w:p>
    <w:p w:rsidR="0048469E" w:rsidRDefault="00B824E4" w:rsidP="00F52921">
      <w:pPr>
        <w:tabs>
          <w:tab w:val="right" w:pos="9360"/>
        </w:tabs>
        <w:ind w:left="2160" w:hanging="2160"/>
      </w:pPr>
      <w:r w:rsidRPr="00B824E4">
        <w:tab/>
      </w:r>
      <w:r w:rsidR="00554649">
        <w:t>Continuous Data</w:t>
      </w:r>
    </w:p>
    <w:p w:rsidR="00B824E4" w:rsidRPr="00B824E4" w:rsidRDefault="00554649" w:rsidP="00F52921">
      <w:pPr>
        <w:tabs>
          <w:tab w:val="right" w:pos="9360"/>
        </w:tabs>
        <w:ind w:left="2160" w:hanging="2160"/>
      </w:pPr>
      <w:r>
        <w:tab/>
      </w:r>
      <w:r w:rsidR="00B824E4" w:rsidRPr="00B824E4">
        <w:t>Assignment 3 Due</w:t>
      </w:r>
    </w:p>
    <w:p w:rsidR="00B824E4" w:rsidRPr="00B824E4" w:rsidRDefault="00B824E4" w:rsidP="00F52921">
      <w:pPr>
        <w:tabs>
          <w:tab w:val="right" w:pos="9360"/>
        </w:tabs>
        <w:ind w:left="2160" w:hanging="2160"/>
      </w:pPr>
    </w:p>
    <w:p w:rsidR="00B824E4" w:rsidRPr="00B824E4" w:rsidRDefault="00685741" w:rsidP="00F52921">
      <w:pPr>
        <w:tabs>
          <w:tab w:val="right" w:pos="9360"/>
        </w:tabs>
        <w:ind w:left="2160" w:hanging="2160"/>
      </w:pPr>
      <w:r>
        <w:t>March 27</w:t>
      </w:r>
      <w:r w:rsidR="00B824E4" w:rsidRPr="00B824E4">
        <w:t>:</w:t>
      </w:r>
      <w:r w:rsidR="00B824E4" w:rsidRPr="00B824E4">
        <w:tab/>
        <w:t>Presenting R</w:t>
      </w:r>
      <w:r w:rsidR="00D57309">
        <w:t>esults, Appropriate Inferences</w:t>
      </w:r>
    </w:p>
    <w:p w:rsidR="00B824E4" w:rsidRDefault="00113492" w:rsidP="00F52921">
      <w:pPr>
        <w:tabs>
          <w:tab w:val="right" w:pos="9360"/>
        </w:tabs>
        <w:ind w:left="2160" w:hanging="2160"/>
      </w:pPr>
      <w:r>
        <w:tab/>
        <w:t>AERA Standards</w:t>
      </w:r>
    </w:p>
    <w:p w:rsidR="0048469E" w:rsidRDefault="0048469E" w:rsidP="00F52921">
      <w:pPr>
        <w:tabs>
          <w:tab w:val="right" w:pos="9360"/>
        </w:tabs>
        <w:ind w:left="2160" w:hanging="2160"/>
      </w:pPr>
    </w:p>
    <w:p w:rsidR="0048469E" w:rsidRPr="00B824E4" w:rsidRDefault="0048469E" w:rsidP="00F52921">
      <w:pPr>
        <w:tabs>
          <w:tab w:val="right" w:pos="9360"/>
        </w:tabs>
        <w:ind w:left="2160" w:hanging="2160"/>
      </w:pPr>
      <w:r>
        <w:t>April 3</w:t>
      </w:r>
      <w:r w:rsidR="00F52921">
        <w:t xml:space="preserve"> (no class)</w:t>
      </w:r>
      <w:r>
        <w:t>:</w:t>
      </w:r>
      <w:r>
        <w:tab/>
        <w:t>Assignment 4 Due</w:t>
      </w:r>
    </w:p>
    <w:p w:rsidR="00B824E4" w:rsidRDefault="00B824E4" w:rsidP="006426A6">
      <w:pPr>
        <w:ind w:left="360" w:hanging="360"/>
      </w:pPr>
      <w:r>
        <w:br w:type="page"/>
      </w:r>
    </w:p>
    <w:p w:rsidR="006426A6" w:rsidRPr="00D54B92" w:rsidRDefault="00D54B92" w:rsidP="006426A6">
      <w:pPr>
        <w:ind w:left="360" w:hanging="360"/>
        <w:rPr>
          <w:sz w:val="28"/>
          <w:szCs w:val="28"/>
        </w:rPr>
      </w:pPr>
      <w:r w:rsidRPr="00D54B92">
        <w:rPr>
          <w:b/>
          <w:iCs/>
          <w:sz w:val="28"/>
          <w:szCs w:val="28"/>
        </w:rPr>
        <w:lastRenderedPageBreak/>
        <w:t>Readings</w:t>
      </w:r>
      <w:r w:rsidR="006426A6" w:rsidRPr="00D54B92">
        <w:rPr>
          <w:sz w:val="28"/>
          <w:szCs w:val="28"/>
        </w:rPr>
        <w:t xml:space="preserve">: </w:t>
      </w:r>
    </w:p>
    <w:p w:rsidR="006426A6" w:rsidRPr="002F2D35" w:rsidRDefault="006426A6" w:rsidP="006426A6">
      <w:pPr>
        <w:ind w:left="360" w:hanging="360"/>
      </w:pPr>
    </w:p>
    <w:p w:rsidR="00F52921" w:rsidRPr="000D38E4" w:rsidRDefault="00F52921" w:rsidP="005D038A">
      <w:pPr>
        <w:spacing w:after="120"/>
        <w:ind w:left="360" w:hanging="360"/>
        <w:rPr>
          <w:sz w:val="22"/>
          <w:szCs w:val="22"/>
        </w:rPr>
      </w:pPr>
      <w:proofErr w:type="spellStart"/>
      <w:r w:rsidRPr="000D38E4">
        <w:rPr>
          <w:sz w:val="22"/>
          <w:szCs w:val="22"/>
        </w:rPr>
        <w:t>Belia</w:t>
      </w:r>
      <w:proofErr w:type="spellEnd"/>
      <w:r w:rsidRPr="000D38E4">
        <w:rPr>
          <w:sz w:val="22"/>
          <w:szCs w:val="22"/>
        </w:rPr>
        <w:t xml:space="preserve">, S., </w:t>
      </w:r>
      <w:proofErr w:type="spellStart"/>
      <w:r w:rsidRPr="000D38E4">
        <w:rPr>
          <w:sz w:val="22"/>
          <w:szCs w:val="22"/>
        </w:rPr>
        <w:t>Fidler</w:t>
      </w:r>
      <w:proofErr w:type="spellEnd"/>
      <w:r w:rsidRPr="000D38E4">
        <w:rPr>
          <w:sz w:val="22"/>
          <w:szCs w:val="22"/>
        </w:rPr>
        <w:t xml:space="preserve">, F., Williams, J., &amp; Cumming, G. (2005). Researchers misunderstand confidence intervals and standard error bars. </w:t>
      </w:r>
      <w:r w:rsidRPr="000D38E4">
        <w:rPr>
          <w:i/>
          <w:sz w:val="22"/>
          <w:szCs w:val="22"/>
        </w:rPr>
        <w:t>Psychological Methods, 10</w:t>
      </w:r>
      <w:r w:rsidRPr="000D38E4">
        <w:rPr>
          <w:sz w:val="22"/>
          <w:szCs w:val="22"/>
        </w:rPr>
        <w:t>(4), 389-396.</w:t>
      </w:r>
    </w:p>
    <w:p w:rsidR="00F519C6" w:rsidRPr="000D38E4" w:rsidRDefault="00874558" w:rsidP="005D038A">
      <w:pPr>
        <w:spacing w:after="120"/>
        <w:ind w:left="360" w:hanging="360"/>
        <w:rPr>
          <w:sz w:val="22"/>
          <w:szCs w:val="22"/>
        </w:rPr>
      </w:pPr>
      <w:r w:rsidRPr="000D38E4">
        <w:rPr>
          <w:sz w:val="22"/>
          <w:szCs w:val="22"/>
        </w:rPr>
        <w:t xml:space="preserve">Bode, R.K. (1995, April). </w:t>
      </w:r>
      <w:r w:rsidRPr="000D38E4">
        <w:rPr>
          <w:i/>
          <w:sz w:val="22"/>
          <w:szCs w:val="22"/>
        </w:rPr>
        <w:t>Using Rasch to create measures from survey data</w:t>
      </w:r>
      <w:r w:rsidRPr="000D38E4">
        <w:rPr>
          <w:sz w:val="22"/>
          <w:szCs w:val="22"/>
        </w:rPr>
        <w:t>. Paper presented at the annual meeting of the AERA, San Francisco</w:t>
      </w:r>
      <w:r w:rsidR="00A06D79" w:rsidRPr="000D38E4">
        <w:rPr>
          <w:sz w:val="22"/>
          <w:szCs w:val="22"/>
        </w:rPr>
        <w:t>, CA</w:t>
      </w:r>
      <w:r w:rsidRPr="000D38E4">
        <w:rPr>
          <w:sz w:val="22"/>
          <w:szCs w:val="22"/>
        </w:rPr>
        <w:t>.</w:t>
      </w:r>
    </w:p>
    <w:p w:rsidR="002B5B7C" w:rsidRPr="000D38E4" w:rsidRDefault="002B5B7C" w:rsidP="005D038A">
      <w:pPr>
        <w:spacing w:after="120"/>
        <w:ind w:left="360" w:hanging="360"/>
        <w:rPr>
          <w:i/>
          <w:sz w:val="22"/>
          <w:szCs w:val="22"/>
        </w:rPr>
      </w:pPr>
      <w:proofErr w:type="spellStart"/>
      <w:r w:rsidRPr="000D38E4">
        <w:rPr>
          <w:sz w:val="22"/>
          <w:szCs w:val="22"/>
        </w:rPr>
        <w:t>Borgen</w:t>
      </w:r>
      <w:proofErr w:type="spellEnd"/>
      <w:r w:rsidRPr="000D38E4">
        <w:rPr>
          <w:sz w:val="22"/>
          <w:szCs w:val="22"/>
        </w:rPr>
        <w:t xml:space="preserve">, F.H., &amp; Barnett, D.C. (1987). Applying cluster analysis in counseling psychology research. </w:t>
      </w:r>
      <w:r w:rsidRPr="000D38E4">
        <w:rPr>
          <w:i/>
          <w:sz w:val="22"/>
          <w:szCs w:val="22"/>
        </w:rPr>
        <w:t>Journal of Counseling Psychology, 34</w:t>
      </w:r>
      <w:r w:rsidRPr="000D38E4">
        <w:rPr>
          <w:sz w:val="22"/>
          <w:szCs w:val="22"/>
        </w:rPr>
        <w:t>(4), 456-468.</w:t>
      </w:r>
    </w:p>
    <w:p w:rsidR="00FD02E8" w:rsidRPr="000D38E4" w:rsidRDefault="00FD02E8" w:rsidP="005D038A">
      <w:pPr>
        <w:spacing w:after="120"/>
        <w:ind w:left="360" w:hanging="360"/>
        <w:rPr>
          <w:sz w:val="22"/>
          <w:szCs w:val="22"/>
        </w:rPr>
      </w:pPr>
      <w:r w:rsidRPr="000D38E4">
        <w:rPr>
          <w:sz w:val="22"/>
          <w:szCs w:val="22"/>
        </w:rPr>
        <w:t xml:space="preserve">Dowd, A.C., &amp; Duggan, M.B. (2001, March). </w:t>
      </w:r>
      <w:r w:rsidRPr="000D38E4">
        <w:rPr>
          <w:i/>
          <w:sz w:val="22"/>
          <w:szCs w:val="22"/>
        </w:rPr>
        <w:t>Computing variances from data with complex sampling designs: A comparison of Stata and SPSS</w:t>
      </w:r>
      <w:r w:rsidRPr="000D38E4">
        <w:rPr>
          <w:sz w:val="22"/>
          <w:szCs w:val="22"/>
        </w:rPr>
        <w:t>. Paper presented to the North American Stata Users Group.</w:t>
      </w:r>
    </w:p>
    <w:p w:rsidR="000F41DE" w:rsidRPr="000D38E4" w:rsidRDefault="000F41DE" w:rsidP="005D038A">
      <w:pPr>
        <w:spacing w:after="120"/>
        <w:ind w:left="360" w:hanging="360"/>
        <w:rPr>
          <w:sz w:val="22"/>
          <w:szCs w:val="22"/>
        </w:rPr>
      </w:pPr>
      <w:r w:rsidRPr="000D38E4">
        <w:rPr>
          <w:sz w:val="22"/>
          <w:szCs w:val="22"/>
        </w:rPr>
        <w:t xml:space="preserve">Goldstein, H. (1991). Multilevel modeling of survey data. </w:t>
      </w:r>
      <w:r w:rsidRPr="000D38E4">
        <w:rPr>
          <w:i/>
          <w:sz w:val="22"/>
          <w:szCs w:val="22"/>
        </w:rPr>
        <w:t>The Statistician, 40</w:t>
      </w:r>
      <w:r w:rsidRPr="000D38E4">
        <w:rPr>
          <w:sz w:val="22"/>
          <w:szCs w:val="22"/>
        </w:rPr>
        <w:t>, 235-244.</w:t>
      </w:r>
    </w:p>
    <w:p w:rsidR="007378DD" w:rsidRPr="000D38E4" w:rsidRDefault="007378DD" w:rsidP="005D038A">
      <w:pPr>
        <w:spacing w:after="120"/>
        <w:ind w:left="360" w:hanging="360"/>
        <w:rPr>
          <w:sz w:val="22"/>
          <w:szCs w:val="22"/>
        </w:rPr>
      </w:pPr>
      <w:r w:rsidRPr="000D38E4">
        <w:rPr>
          <w:sz w:val="22"/>
          <w:szCs w:val="22"/>
        </w:rPr>
        <w:t xml:space="preserve">Hobson, K.A., Roy, A.R., &amp; </w:t>
      </w:r>
      <w:proofErr w:type="spellStart"/>
      <w:r w:rsidRPr="000D38E4">
        <w:rPr>
          <w:sz w:val="22"/>
          <w:szCs w:val="22"/>
        </w:rPr>
        <w:t>Coryn</w:t>
      </w:r>
      <w:proofErr w:type="spellEnd"/>
      <w:r w:rsidRPr="000D38E4">
        <w:rPr>
          <w:sz w:val="22"/>
          <w:szCs w:val="22"/>
        </w:rPr>
        <w:t xml:space="preserve">, C.L.S. (2013). </w:t>
      </w:r>
      <w:r w:rsidRPr="000D38E4">
        <w:rPr>
          <w:i/>
          <w:sz w:val="22"/>
          <w:szCs w:val="22"/>
        </w:rPr>
        <w:t>Influences of hierarchical linear modeling in evaluation</w:t>
      </w:r>
      <w:r w:rsidRPr="000D38E4">
        <w:rPr>
          <w:sz w:val="22"/>
          <w:szCs w:val="22"/>
        </w:rPr>
        <w:t xml:space="preserve"> [Unpublished presentation].</w:t>
      </w:r>
      <w:r w:rsidR="00A06D79" w:rsidRPr="000D38E4">
        <w:rPr>
          <w:sz w:val="22"/>
          <w:szCs w:val="22"/>
        </w:rPr>
        <w:t xml:space="preserve"> Kalamazoo, MI: Western Michigan University.</w:t>
      </w:r>
    </w:p>
    <w:p w:rsidR="00F52921" w:rsidRPr="000D38E4" w:rsidRDefault="00F52921" w:rsidP="005D038A">
      <w:pPr>
        <w:spacing w:after="120"/>
        <w:ind w:left="360" w:hanging="360"/>
        <w:rPr>
          <w:sz w:val="22"/>
          <w:szCs w:val="22"/>
        </w:rPr>
      </w:pPr>
      <w:r w:rsidRPr="000D38E4">
        <w:rPr>
          <w:sz w:val="22"/>
          <w:szCs w:val="22"/>
        </w:rPr>
        <w:t xml:space="preserve">Lane, D.M., &amp; </w:t>
      </w:r>
      <w:proofErr w:type="spellStart"/>
      <w:r w:rsidRPr="000D38E4">
        <w:rPr>
          <w:sz w:val="22"/>
          <w:szCs w:val="22"/>
        </w:rPr>
        <w:t>Sándor</w:t>
      </w:r>
      <w:proofErr w:type="spellEnd"/>
      <w:r w:rsidRPr="000D38E4">
        <w:rPr>
          <w:sz w:val="22"/>
          <w:szCs w:val="22"/>
        </w:rPr>
        <w:t xml:space="preserve">, A. (2009). Designing better graphs by including distributional information and integrating words, numbers, and images. </w:t>
      </w:r>
      <w:r w:rsidRPr="000D38E4">
        <w:rPr>
          <w:i/>
          <w:sz w:val="22"/>
          <w:szCs w:val="22"/>
        </w:rPr>
        <w:t>Psychological Methods, 14</w:t>
      </w:r>
      <w:r w:rsidRPr="000D38E4">
        <w:rPr>
          <w:sz w:val="22"/>
          <w:szCs w:val="22"/>
        </w:rPr>
        <w:t>(3), 239-257.</w:t>
      </w:r>
    </w:p>
    <w:p w:rsidR="00874558" w:rsidRPr="000D38E4" w:rsidRDefault="00874558" w:rsidP="005D038A">
      <w:pPr>
        <w:spacing w:after="120"/>
        <w:ind w:left="360" w:hanging="360"/>
        <w:rPr>
          <w:sz w:val="22"/>
          <w:szCs w:val="22"/>
        </w:rPr>
      </w:pPr>
      <w:proofErr w:type="spellStart"/>
      <w:r w:rsidRPr="000D38E4">
        <w:rPr>
          <w:sz w:val="22"/>
          <w:szCs w:val="22"/>
        </w:rPr>
        <w:t>Nardi</w:t>
      </w:r>
      <w:proofErr w:type="spellEnd"/>
      <w:r w:rsidRPr="000D38E4">
        <w:rPr>
          <w:sz w:val="22"/>
          <w:szCs w:val="22"/>
        </w:rPr>
        <w:t xml:space="preserve">, P.M. (2003). </w:t>
      </w:r>
      <w:r w:rsidRPr="000D38E4">
        <w:rPr>
          <w:i/>
          <w:sz w:val="22"/>
          <w:szCs w:val="22"/>
        </w:rPr>
        <w:t>Doing Survey Research: A Guide to Quantitative Methods</w:t>
      </w:r>
      <w:r w:rsidRPr="000D38E4">
        <w:rPr>
          <w:sz w:val="22"/>
          <w:szCs w:val="22"/>
        </w:rPr>
        <w:t>. Boston, MA: Allyn &amp; Bacon.</w:t>
      </w:r>
    </w:p>
    <w:p w:rsidR="00FD02E8" w:rsidRPr="000D38E4" w:rsidRDefault="00FD02E8" w:rsidP="005D038A">
      <w:pPr>
        <w:spacing w:after="120"/>
        <w:ind w:left="360" w:hanging="360"/>
        <w:rPr>
          <w:sz w:val="22"/>
          <w:szCs w:val="22"/>
        </w:rPr>
      </w:pPr>
      <w:r w:rsidRPr="000D38E4">
        <w:rPr>
          <w:sz w:val="22"/>
          <w:szCs w:val="22"/>
        </w:rPr>
        <w:t xml:space="preserve">Reeve, B.B., &amp; </w:t>
      </w:r>
      <w:proofErr w:type="spellStart"/>
      <w:r w:rsidRPr="000D38E4">
        <w:rPr>
          <w:sz w:val="22"/>
          <w:szCs w:val="22"/>
        </w:rPr>
        <w:t>Fayers</w:t>
      </w:r>
      <w:proofErr w:type="spellEnd"/>
      <w:r w:rsidRPr="000D38E4">
        <w:rPr>
          <w:sz w:val="22"/>
          <w:szCs w:val="22"/>
        </w:rPr>
        <w:t xml:space="preserve">, P. (2005). Applying item response theory modeling for evaluating questionnaire item and scale properties. In P.M. </w:t>
      </w:r>
      <w:proofErr w:type="spellStart"/>
      <w:r w:rsidRPr="000D38E4">
        <w:rPr>
          <w:sz w:val="22"/>
          <w:szCs w:val="22"/>
        </w:rPr>
        <w:t>Fayers</w:t>
      </w:r>
      <w:proofErr w:type="spellEnd"/>
      <w:r w:rsidRPr="000D38E4">
        <w:rPr>
          <w:sz w:val="22"/>
          <w:szCs w:val="22"/>
        </w:rPr>
        <w:t xml:space="preserve"> &amp; R.D. Hays (Eds.), </w:t>
      </w:r>
      <w:r w:rsidRPr="000D38E4">
        <w:rPr>
          <w:i/>
          <w:sz w:val="22"/>
          <w:szCs w:val="22"/>
        </w:rPr>
        <w:t>Assessing quality of life in clinical trials: Methods and practice</w:t>
      </w:r>
      <w:r w:rsidRPr="000D38E4">
        <w:rPr>
          <w:sz w:val="22"/>
          <w:szCs w:val="22"/>
        </w:rPr>
        <w:t xml:space="preserve"> (2</w:t>
      </w:r>
      <w:r w:rsidRPr="000D38E4">
        <w:rPr>
          <w:sz w:val="22"/>
          <w:szCs w:val="22"/>
          <w:vertAlign w:val="superscript"/>
        </w:rPr>
        <w:t>nd</w:t>
      </w:r>
      <w:r w:rsidRPr="000D38E4">
        <w:rPr>
          <w:sz w:val="22"/>
          <w:szCs w:val="22"/>
        </w:rPr>
        <w:t xml:space="preserve"> </w:t>
      </w:r>
      <w:proofErr w:type="gramStart"/>
      <w:r w:rsidRPr="000D38E4">
        <w:rPr>
          <w:sz w:val="22"/>
          <w:szCs w:val="22"/>
        </w:rPr>
        <w:t>ed</w:t>
      </w:r>
      <w:proofErr w:type="gramEnd"/>
      <w:r w:rsidRPr="000D38E4">
        <w:rPr>
          <w:sz w:val="22"/>
          <w:szCs w:val="22"/>
        </w:rPr>
        <w:t>.). New York</w:t>
      </w:r>
      <w:r w:rsidR="00A06D79" w:rsidRPr="000D38E4">
        <w:rPr>
          <w:sz w:val="22"/>
          <w:szCs w:val="22"/>
        </w:rPr>
        <w:t>, NY</w:t>
      </w:r>
      <w:r w:rsidRPr="000D38E4">
        <w:rPr>
          <w:sz w:val="22"/>
          <w:szCs w:val="22"/>
        </w:rPr>
        <w:t>: Oxford University Press.</w:t>
      </w:r>
    </w:p>
    <w:p w:rsidR="00874558" w:rsidRPr="000D38E4" w:rsidRDefault="00874558" w:rsidP="005D038A">
      <w:pPr>
        <w:spacing w:after="120"/>
        <w:ind w:left="360" w:hanging="360"/>
        <w:rPr>
          <w:sz w:val="22"/>
          <w:szCs w:val="22"/>
        </w:rPr>
      </w:pPr>
      <w:r w:rsidRPr="000D38E4">
        <w:rPr>
          <w:sz w:val="22"/>
          <w:szCs w:val="22"/>
        </w:rPr>
        <w:t xml:space="preserve">SPSS. (2003). </w:t>
      </w:r>
      <w:r w:rsidRPr="000D38E4">
        <w:rPr>
          <w:i/>
          <w:sz w:val="22"/>
          <w:szCs w:val="22"/>
        </w:rPr>
        <w:t>How to get more value from your survey data</w:t>
      </w:r>
      <w:r w:rsidRPr="000D38E4">
        <w:rPr>
          <w:sz w:val="22"/>
          <w:szCs w:val="22"/>
        </w:rPr>
        <w:t>. Chicago, IL: Author.</w:t>
      </w:r>
    </w:p>
    <w:p w:rsidR="00FD02E8" w:rsidRPr="000D38E4" w:rsidRDefault="00FD02E8" w:rsidP="005D038A">
      <w:pPr>
        <w:spacing w:after="120"/>
        <w:ind w:left="360" w:hanging="360"/>
        <w:rPr>
          <w:sz w:val="22"/>
          <w:szCs w:val="22"/>
        </w:rPr>
      </w:pPr>
      <w:r w:rsidRPr="000D38E4">
        <w:rPr>
          <w:sz w:val="22"/>
          <w:szCs w:val="22"/>
        </w:rPr>
        <w:t xml:space="preserve">SPSS. (2007). </w:t>
      </w:r>
      <w:proofErr w:type="gramStart"/>
      <w:r w:rsidRPr="000D38E4">
        <w:rPr>
          <w:i/>
          <w:sz w:val="22"/>
          <w:szCs w:val="22"/>
        </w:rPr>
        <w:t>Correctly</w:t>
      </w:r>
      <w:proofErr w:type="gramEnd"/>
      <w:r w:rsidRPr="000D38E4">
        <w:rPr>
          <w:i/>
          <w:sz w:val="22"/>
          <w:szCs w:val="22"/>
        </w:rPr>
        <w:t xml:space="preserve"> compute complex samples statistics: SPSS </w:t>
      </w:r>
      <w:r w:rsidR="00A06D79" w:rsidRPr="000D38E4">
        <w:rPr>
          <w:i/>
          <w:sz w:val="22"/>
          <w:szCs w:val="22"/>
        </w:rPr>
        <w:t>c</w:t>
      </w:r>
      <w:r w:rsidRPr="000D38E4">
        <w:rPr>
          <w:i/>
          <w:sz w:val="22"/>
          <w:szCs w:val="22"/>
        </w:rPr>
        <w:t xml:space="preserve">omplex </w:t>
      </w:r>
      <w:r w:rsidR="00A06D79" w:rsidRPr="000D38E4">
        <w:rPr>
          <w:i/>
          <w:sz w:val="22"/>
          <w:szCs w:val="22"/>
        </w:rPr>
        <w:t>s</w:t>
      </w:r>
      <w:r w:rsidRPr="000D38E4">
        <w:rPr>
          <w:i/>
          <w:sz w:val="22"/>
          <w:szCs w:val="22"/>
        </w:rPr>
        <w:t xml:space="preserve">amples 16.0 </w:t>
      </w:r>
      <w:r w:rsidR="00A06D79" w:rsidRPr="000D38E4">
        <w:rPr>
          <w:i/>
          <w:sz w:val="22"/>
          <w:szCs w:val="22"/>
        </w:rPr>
        <w:t>s</w:t>
      </w:r>
      <w:r w:rsidRPr="000D38E4">
        <w:rPr>
          <w:i/>
          <w:sz w:val="22"/>
          <w:szCs w:val="22"/>
        </w:rPr>
        <w:t>pecifications</w:t>
      </w:r>
      <w:r w:rsidRPr="000D38E4">
        <w:rPr>
          <w:sz w:val="22"/>
          <w:szCs w:val="22"/>
        </w:rPr>
        <w:t>. Chicago, IL: Author.</w:t>
      </w:r>
    </w:p>
    <w:p w:rsidR="002B5B7C" w:rsidRPr="000D38E4" w:rsidRDefault="002B5B7C" w:rsidP="005D038A">
      <w:pPr>
        <w:spacing w:after="120"/>
        <w:ind w:left="360" w:hanging="360"/>
        <w:rPr>
          <w:sz w:val="22"/>
          <w:szCs w:val="22"/>
        </w:rPr>
      </w:pPr>
      <w:proofErr w:type="spellStart"/>
      <w:r w:rsidRPr="000D38E4">
        <w:rPr>
          <w:sz w:val="22"/>
          <w:szCs w:val="22"/>
        </w:rPr>
        <w:t>Trigwell</w:t>
      </w:r>
      <w:proofErr w:type="spellEnd"/>
      <w:r w:rsidRPr="000D38E4">
        <w:rPr>
          <w:sz w:val="22"/>
          <w:szCs w:val="22"/>
        </w:rPr>
        <w:t xml:space="preserve">, K., Prosser, M., &amp; Waterhouse, F. (1999). Relations between teachers’ approaches to teaching and students’ approaches to learning. </w:t>
      </w:r>
      <w:r w:rsidRPr="000D38E4">
        <w:rPr>
          <w:i/>
          <w:sz w:val="22"/>
          <w:szCs w:val="22"/>
        </w:rPr>
        <w:t>Higher Education, 37</w:t>
      </w:r>
      <w:r w:rsidRPr="000D38E4">
        <w:rPr>
          <w:sz w:val="22"/>
          <w:szCs w:val="22"/>
        </w:rPr>
        <w:t>, 57-90.</w:t>
      </w:r>
    </w:p>
    <w:p w:rsidR="00FD02E8" w:rsidRPr="000D38E4" w:rsidRDefault="00FD02E8" w:rsidP="005D038A">
      <w:pPr>
        <w:spacing w:after="120"/>
        <w:ind w:left="360" w:hanging="360"/>
        <w:rPr>
          <w:sz w:val="22"/>
          <w:szCs w:val="22"/>
        </w:rPr>
      </w:pPr>
      <w:proofErr w:type="spellStart"/>
      <w:r w:rsidRPr="000D38E4">
        <w:rPr>
          <w:sz w:val="22"/>
          <w:szCs w:val="22"/>
        </w:rPr>
        <w:t>Tsikriktsis</w:t>
      </w:r>
      <w:proofErr w:type="spellEnd"/>
      <w:r w:rsidRPr="000D38E4">
        <w:rPr>
          <w:sz w:val="22"/>
          <w:szCs w:val="22"/>
        </w:rPr>
        <w:t xml:space="preserve">, N. (2005). A review of techniques for treating missing data in OM survey research. </w:t>
      </w:r>
      <w:r w:rsidRPr="000D38E4">
        <w:rPr>
          <w:i/>
          <w:sz w:val="22"/>
          <w:szCs w:val="22"/>
        </w:rPr>
        <w:t>Journal of Operations Management, 24</w:t>
      </w:r>
      <w:r w:rsidRPr="000D38E4">
        <w:rPr>
          <w:sz w:val="22"/>
          <w:szCs w:val="22"/>
        </w:rPr>
        <w:t>, 53-62.</w:t>
      </w:r>
    </w:p>
    <w:p w:rsidR="007378DD" w:rsidRPr="000D38E4" w:rsidRDefault="007378DD" w:rsidP="005D038A">
      <w:pPr>
        <w:spacing w:after="120"/>
        <w:ind w:left="360" w:hanging="360"/>
        <w:rPr>
          <w:sz w:val="22"/>
          <w:szCs w:val="22"/>
        </w:rPr>
      </w:pPr>
      <w:proofErr w:type="spellStart"/>
      <w:r w:rsidRPr="000D38E4">
        <w:rPr>
          <w:sz w:val="22"/>
          <w:szCs w:val="22"/>
        </w:rPr>
        <w:t>Wech</w:t>
      </w:r>
      <w:proofErr w:type="spellEnd"/>
      <w:r w:rsidRPr="000D38E4">
        <w:rPr>
          <w:sz w:val="22"/>
          <w:szCs w:val="22"/>
        </w:rPr>
        <w:t xml:space="preserve">, B.A., &amp; Heck, A.L. (2004). An introduction to hierarchical linear modeling for marketing researchers. </w:t>
      </w:r>
      <w:r w:rsidRPr="000D38E4">
        <w:rPr>
          <w:i/>
          <w:sz w:val="22"/>
          <w:szCs w:val="22"/>
        </w:rPr>
        <w:t>Marketing Bulletin, 15</w:t>
      </w:r>
      <w:r w:rsidRPr="000D38E4">
        <w:rPr>
          <w:sz w:val="22"/>
          <w:szCs w:val="22"/>
        </w:rPr>
        <w:t>, 1-8.</w:t>
      </w:r>
    </w:p>
    <w:p w:rsidR="007378DD" w:rsidRPr="000D38E4" w:rsidRDefault="007378DD" w:rsidP="005D038A">
      <w:pPr>
        <w:spacing w:after="120"/>
        <w:ind w:left="360" w:hanging="360"/>
        <w:rPr>
          <w:sz w:val="22"/>
          <w:szCs w:val="22"/>
        </w:rPr>
      </w:pPr>
      <w:proofErr w:type="spellStart"/>
      <w:r w:rsidRPr="000D38E4">
        <w:rPr>
          <w:sz w:val="22"/>
          <w:szCs w:val="22"/>
        </w:rPr>
        <w:t>Woltman</w:t>
      </w:r>
      <w:proofErr w:type="spellEnd"/>
      <w:r w:rsidRPr="000D38E4">
        <w:rPr>
          <w:sz w:val="22"/>
          <w:szCs w:val="22"/>
        </w:rPr>
        <w:t xml:space="preserve">, H., </w:t>
      </w:r>
      <w:proofErr w:type="spellStart"/>
      <w:r w:rsidRPr="000D38E4">
        <w:rPr>
          <w:sz w:val="22"/>
          <w:szCs w:val="22"/>
        </w:rPr>
        <w:t>Feldstain</w:t>
      </w:r>
      <w:proofErr w:type="spellEnd"/>
      <w:r w:rsidRPr="000D38E4">
        <w:rPr>
          <w:sz w:val="22"/>
          <w:szCs w:val="22"/>
        </w:rPr>
        <w:t xml:space="preserve">, A., MacKay, J.C., &amp; </w:t>
      </w:r>
      <w:proofErr w:type="spellStart"/>
      <w:r w:rsidRPr="000D38E4">
        <w:rPr>
          <w:sz w:val="22"/>
          <w:szCs w:val="22"/>
        </w:rPr>
        <w:t>Rocchi</w:t>
      </w:r>
      <w:proofErr w:type="spellEnd"/>
      <w:r w:rsidRPr="000D38E4">
        <w:rPr>
          <w:sz w:val="22"/>
          <w:szCs w:val="22"/>
        </w:rPr>
        <w:t xml:space="preserve">, M. (2012). An introduction to hierarchical linear modeling. </w:t>
      </w:r>
      <w:r w:rsidRPr="000D38E4">
        <w:rPr>
          <w:i/>
          <w:sz w:val="22"/>
          <w:szCs w:val="22"/>
        </w:rPr>
        <w:t>Tutorials in Quantitative Methods for Psychology, 8</w:t>
      </w:r>
      <w:r w:rsidRPr="000D38E4">
        <w:rPr>
          <w:sz w:val="22"/>
          <w:szCs w:val="22"/>
        </w:rPr>
        <w:t>(1), 52-69.</w:t>
      </w:r>
    </w:p>
    <w:p w:rsidR="000D38E4" w:rsidRDefault="000D38E4"/>
    <w:p w:rsidR="00643B6B" w:rsidRPr="00D54B92" w:rsidRDefault="00643B6B" w:rsidP="001D0181">
      <w:pPr>
        <w:pStyle w:val="PlainText"/>
        <w:rPr>
          <w:rFonts w:ascii="Times New Roman" w:hAnsi="Times New Roman" w:cs="Times New Roman"/>
          <w:b/>
          <w:sz w:val="28"/>
          <w:szCs w:val="28"/>
        </w:rPr>
      </w:pPr>
      <w:r w:rsidRPr="00D54B92">
        <w:rPr>
          <w:rFonts w:ascii="Times New Roman" w:hAnsi="Times New Roman" w:cs="Times New Roman"/>
          <w:b/>
          <w:sz w:val="28"/>
          <w:szCs w:val="28"/>
        </w:rPr>
        <w:t>Course Description</w:t>
      </w:r>
    </w:p>
    <w:p w:rsidR="006426A6" w:rsidRPr="002F2D35" w:rsidRDefault="006426A6" w:rsidP="001D0181">
      <w:pPr>
        <w:pStyle w:val="PlainText"/>
        <w:rPr>
          <w:rFonts w:ascii="Times New Roman" w:hAnsi="Times New Roman" w:cs="Times New Roman"/>
          <w:sz w:val="24"/>
          <w:szCs w:val="24"/>
        </w:rPr>
      </w:pPr>
      <w:r w:rsidRPr="002F2D35">
        <w:rPr>
          <w:rFonts w:ascii="Times New Roman" w:hAnsi="Times New Roman" w:cs="Times New Roman"/>
          <w:sz w:val="24"/>
          <w:szCs w:val="24"/>
        </w:rPr>
        <w:t xml:space="preserve">This course will enable students to understand the principles </w:t>
      </w:r>
      <w:r w:rsidR="00B6741C">
        <w:rPr>
          <w:rFonts w:ascii="Times New Roman" w:hAnsi="Times New Roman" w:cs="Times New Roman"/>
          <w:sz w:val="24"/>
          <w:szCs w:val="24"/>
        </w:rPr>
        <w:t xml:space="preserve">and methods </w:t>
      </w:r>
      <w:r w:rsidRPr="002F2D35">
        <w:rPr>
          <w:rFonts w:ascii="Times New Roman" w:hAnsi="Times New Roman" w:cs="Times New Roman"/>
          <w:sz w:val="24"/>
          <w:szCs w:val="24"/>
        </w:rPr>
        <w:t>of</w:t>
      </w:r>
      <w:r w:rsidR="00B6741C">
        <w:rPr>
          <w:rFonts w:ascii="Times New Roman" w:hAnsi="Times New Roman" w:cs="Times New Roman"/>
          <w:sz w:val="24"/>
          <w:szCs w:val="24"/>
        </w:rPr>
        <w:t xml:space="preserve"> survey data analysis.  It is designed as an extension of the Survey Design course (EPSY 5244), as well as the statistics course which introduces ordinal data analysis (</w:t>
      </w:r>
      <w:r w:rsidR="002C4BE9">
        <w:rPr>
          <w:rFonts w:ascii="Times New Roman" w:hAnsi="Times New Roman" w:cs="Times New Roman"/>
          <w:sz w:val="24"/>
          <w:szCs w:val="24"/>
        </w:rPr>
        <w:t>e.g., chi-square tests</w:t>
      </w:r>
      <w:r w:rsidR="00B6741C">
        <w:rPr>
          <w:rFonts w:ascii="Times New Roman" w:hAnsi="Times New Roman" w:cs="Times New Roman"/>
          <w:sz w:val="24"/>
          <w:szCs w:val="24"/>
        </w:rPr>
        <w:t>).</w:t>
      </w:r>
      <w:r w:rsidRPr="002F2D35">
        <w:rPr>
          <w:rFonts w:ascii="Times New Roman" w:hAnsi="Times New Roman" w:cs="Times New Roman"/>
          <w:sz w:val="24"/>
          <w:szCs w:val="24"/>
        </w:rPr>
        <w:t xml:space="preserve">  Students will engage in </w:t>
      </w:r>
      <w:proofErr w:type="gramStart"/>
      <w:r w:rsidR="00B6741C">
        <w:rPr>
          <w:rFonts w:ascii="Times New Roman" w:hAnsi="Times New Roman" w:cs="Times New Roman"/>
          <w:sz w:val="24"/>
          <w:szCs w:val="24"/>
        </w:rPr>
        <w:t xml:space="preserve">survey data analysis </w:t>
      </w:r>
      <w:r w:rsidR="002F2D35" w:rsidRPr="002F2D35">
        <w:rPr>
          <w:rFonts w:ascii="Times New Roman" w:hAnsi="Times New Roman" w:cs="Times New Roman"/>
          <w:sz w:val="24"/>
          <w:szCs w:val="24"/>
        </w:rPr>
        <w:t>exercises</w:t>
      </w:r>
      <w:proofErr w:type="gramEnd"/>
      <w:r w:rsidR="002F2D35" w:rsidRPr="002F2D35">
        <w:rPr>
          <w:rFonts w:ascii="Times New Roman" w:hAnsi="Times New Roman" w:cs="Times New Roman"/>
          <w:sz w:val="24"/>
          <w:szCs w:val="24"/>
        </w:rPr>
        <w:t xml:space="preserve">, </w:t>
      </w:r>
      <w:r w:rsidR="00136BD5">
        <w:rPr>
          <w:rFonts w:ascii="Times New Roman" w:hAnsi="Times New Roman" w:cs="Times New Roman"/>
          <w:sz w:val="24"/>
          <w:szCs w:val="24"/>
        </w:rPr>
        <w:t xml:space="preserve">use </w:t>
      </w:r>
      <w:r w:rsidRPr="002F2D35">
        <w:rPr>
          <w:rFonts w:ascii="Times New Roman" w:hAnsi="Times New Roman" w:cs="Times New Roman"/>
          <w:sz w:val="24"/>
          <w:szCs w:val="24"/>
        </w:rPr>
        <w:t xml:space="preserve">real data from </w:t>
      </w:r>
      <w:r w:rsidR="00B6741C">
        <w:rPr>
          <w:rFonts w:ascii="Times New Roman" w:hAnsi="Times New Roman" w:cs="Times New Roman"/>
          <w:sz w:val="24"/>
          <w:szCs w:val="24"/>
        </w:rPr>
        <w:t xml:space="preserve">several large survey </w:t>
      </w:r>
      <w:r w:rsidRPr="002F2D35">
        <w:rPr>
          <w:rFonts w:ascii="Times New Roman" w:hAnsi="Times New Roman" w:cs="Times New Roman"/>
          <w:sz w:val="24"/>
          <w:szCs w:val="24"/>
        </w:rPr>
        <w:t>programs</w:t>
      </w:r>
      <w:r w:rsidR="00136BD5">
        <w:rPr>
          <w:rFonts w:ascii="Times New Roman" w:hAnsi="Times New Roman" w:cs="Times New Roman"/>
          <w:sz w:val="24"/>
          <w:szCs w:val="24"/>
        </w:rPr>
        <w:t>,</w:t>
      </w:r>
      <w:r w:rsidR="002F2D35" w:rsidRPr="002F2D35">
        <w:rPr>
          <w:rFonts w:ascii="Times New Roman" w:hAnsi="Times New Roman" w:cs="Times New Roman"/>
          <w:sz w:val="24"/>
          <w:szCs w:val="24"/>
        </w:rPr>
        <w:t xml:space="preserve"> and</w:t>
      </w:r>
      <w:r w:rsidR="00B6741C">
        <w:rPr>
          <w:rFonts w:ascii="Times New Roman" w:hAnsi="Times New Roman" w:cs="Times New Roman"/>
          <w:sz w:val="24"/>
          <w:szCs w:val="24"/>
        </w:rPr>
        <w:t xml:space="preserve"> review current literature on survey data analysis</w:t>
      </w:r>
      <w:r w:rsidRPr="002F2D35">
        <w:rPr>
          <w:rFonts w:ascii="Times New Roman" w:hAnsi="Times New Roman" w:cs="Times New Roman"/>
          <w:sz w:val="24"/>
          <w:szCs w:val="24"/>
        </w:rPr>
        <w:t>.</w:t>
      </w:r>
    </w:p>
    <w:p w:rsidR="006426A6" w:rsidRPr="002F2D35" w:rsidRDefault="006426A6" w:rsidP="001D0181">
      <w:pPr>
        <w:pStyle w:val="PlainText"/>
        <w:rPr>
          <w:rFonts w:ascii="Times New Roman" w:hAnsi="Times New Roman" w:cs="Times New Roman"/>
          <w:sz w:val="24"/>
          <w:szCs w:val="24"/>
        </w:rPr>
      </w:pPr>
    </w:p>
    <w:p w:rsidR="006426A6" w:rsidRPr="002F2D35" w:rsidRDefault="006426A6" w:rsidP="001D0181">
      <w:pPr>
        <w:pStyle w:val="PlainText"/>
        <w:rPr>
          <w:rFonts w:ascii="Times New Roman" w:hAnsi="Times New Roman" w:cs="Times New Roman"/>
          <w:sz w:val="24"/>
          <w:szCs w:val="24"/>
        </w:rPr>
      </w:pPr>
      <w:r w:rsidRPr="002F2D35">
        <w:rPr>
          <w:rFonts w:ascii="Times New Roman" w:hAnsi="Times New Roman" w:cs="Times New Roman"/>
          <w:sz w:val="24"/>
          <w:szCs w:val="24"/>
        </w:rPr>
        <w:t xml:space="preserve">The course will include a mix of instructional strategies, including lecture, small group work, and computer demonstrations.  Small group and individual exercises </w:t>
      </w:r>
      <w:proofErr w:type="gramStart"/>
      <w:r w:rsidRPr="002F2D35">
        <w:rPr>
          <w:rFonts w:ascii="Times New Roman" w:hAnsi="Times New Roman" w:cs="Times New Roman"/>
          <w:sz w:val="24"/>
          <w:szCs w:val="24"/>
        </w:rPr>
        <w:t>will be used</w:t>
      </w:r>
      <w:proofErr w:type="gramEnd"/>
      <w:r w:rsidRPr="002F2D35">
        <w:rPr>
          <w:rFonts w:ascii="Times New Roman" w:hAnsi="Times New Roman" w:cs="Times New Roman"/>
          <w:sz w:val="24"/>
          <w:szCs w:val="24"/>
        </w:rPr>
        <w:t xml:space="preserve"> to practice methods learned in the course, as described below.</w:t>
      </w:r>
    </w:p>
    <w:p w:rsidR="0048469E" w:rsidRPr="008113BE" w:rsidRDefault="0048469E" w:rsidP="0048469E">
      <w:pPr>
        <w:pStyle w:val="PlainText"/>
        <w:rPr>
          <w:rFonts w:ascii="Times New Roman" w:hAnsi="Times New Roman" w:cs="Times New Roman"/>
          <w:b/>
          <w:sz w:val="28"/>
          <w:szCs w:val="28"/>
        </w:rPr>
      </w:pPr>
      <w:r w:rsidRPr="008113BE">
        <w:rPr>
          <w:rFonts w:ascii="Times New Roman" w:hAnsi="Times New Roman" w:cs="Times New Roman"/>
          <w:b/>
          <w:sz w:val="28"/>
          <w:szCs w:val="28"/>
        </w:rPr>
        <w:lastRenderedPageBreak/>
        <w:t>Evaluation of Student Performance</w:t>
      </w:r>
    </w:p>
    <w:p w:rsidR="0048469E" w:rsidRDefault="0048469E" w:rsidP="0048469E">
      <w:r>
        <w:t xml:space="preserve">Analysis projects will be required to assess student achievement of the above objectives.  These projects include the following: (1) Analysis of nominal and ordinal data; (2) Examining relations among multiple indicators (multivariate data); (3) Rasch scaling exercise; and (4) Final project.  A more detailed description of each task </w:t>
      </w:r>
      <w:proofErr w:type="gramStart"/>
      <w:r>
        <w:t>will be provided</w:t>
      </w:r>
      <w:proofErr w:type="gramEnd"/>
      <w:r>
        <w:t xml:space="preserve"> on the day each assignment is assigned.  Data </w:t>
      </w:r>
      <w:proofErr w:type="gramStart"/>
      <w:r>
        <w:t>will be provided</w:t>
      </w:r>
      <w:proofErr w:type="gramEnd"/>
      <w:r>
        <w:t xml:space="preserve"> for the exercises but students are encouraged to use their own data.  The first three assignments </w:t>
      </w:r>
      <w:proofErr w:type="gramStart"/>
      <w:r>
        <w:t>can be done</w:t>
      </w:r>
      <w:proofErr w:type="gramEnd"/>
      <w:r>
        <w:t xml:space="preserve"> with a partner, no more than 2 persons in a single group.  Each assignment (1-3) is worth 20 points; the final project is worth 40 points.  The total number of points is 100 for the course.</w:t>
      </w:r>
    </w:p>
    <w:p w:rsidR="0048469E" w:rsidRDefault="0048469E" w:rsidP="0048469E"/>
    <w:p w:rsidR="0048469E" w:rsidRDefault="0048469E" w:rsidP="0048469E">
      <w:r>
        <w:t xml:space="preserve">A detailed final project description </w:t>
      </w:r>
      <w:proofErr w:type="gramStart"/>
      <w:r>
        <w:t>will be provided</w:t>
      </w:r>
      <w:proofErr w:type="gramEnd"/>
      <w:r>
        <w:t xml:space="preserve"> in class.  It will include the description of an analysis plan, the methods section of a report describing the analysis methods, and an analysis of existing data or the student’s own data with appropriate graphical displays. Final Projects </w:t>
      </w:r>
      <w:proofErr w:type="gramStart"/>
      <w:r>
        <w:t>must be completed</w:t>
      </w:r>
      <w:proofErr w:type="gramEnd"/>
      <w:r>
        <w:t xml:space="preserve"> within one week following the final class session.</w:t>
      </w:r>
    </w:p>
    <w:p w:rsidR="004A0991" w:rsidRDefault="004A0991" w:rsidP="0048469E"/>
    <w:p w:rsidR="004A0991" w:rsidRDefault="004A0991" w:rsidP="0048469E">
      <w:r>
        <w:t xml:space="preserve">Each assignment </w:t>
      </w:r>
      <w:proofErr w:type="gramStart"/>
      <w:r>
        <w:t>can be submitted</w:t>
      </w:r>
      <w:proofErr w:type="gramEnd"/>
      <w:r>
        <w:t xml:space="preserve"> twice for full credit.</w:t>
      </w:r>
    </w:p>
    <w:p w:rsidR="00D33C3F" w:rsidRDefault="00D33C3F" w:rsidP="006E2013">
      <w:pPr>
        <w:pStyle w:val="NormalWeb"/>
        <w:spacing w:before="0" w:beforeAutospacing="0" w:after="0" w:afterAutospacing="0"/>
      </w:pPr>
    </w:p>
    <w:p w:rsidR="00685741" w:rsidRPr="000D38E4" w:rsidRDefault="00685741" w:rsidP="00685741">
      <w:pPr>
        <w:rPr>
          <w:rFonts w:ascii="Arial" w:hAnsi="Arial" w:cs="Arial"/>
          <w:b/>
          <w:sz w:val="22"/>
          <w:szCs w:val="22"/>
        </w:rPr>
      </w:pPr>
      <w:r w:rsidRPr="000D38E4">
        <w:rPr>
          <w:rFonts w:ascii="Arial" w:hAnsi="Arial" w:cs="Arial"/>
          <w:b/>
          <w:i/>
          <w:iCs/>
          <w:sz w:val="22"/>
          <w:szCs w:val="22"/>
        </w:rPr>
        <w:t>Instruction</w:t>
      </w:r>
      <w:r w:rsidRPr="000D38E4">
        <w:rPr>
          <w:rFonts w:ascii="Arial" w:hAnsi="Arial" w:cs="Arial"/>
          <w:b/>
          <w:sz w:val="22"/>
          <w:szCs w:val="22"/>
        </w:rPr>
        <w:t>:</w:t>
      </w:r>
    </w:p>
    <w:p w:rsidR="00685741" w:rsidRPr="000D38E4" w:rsidRDefault="00685741" w:rsidP="00685741">
      <w:pPr>
        <w:rPr>
          <w:rFonts w:ascii="Arial" w:hAnsi="Arial" w:cs="Arial"/>
          <w:sz w:val="22"/>
          <w:szCs w:val="22"/>
        </w:rPr>
      </w:pPr>
      <w:r w:rsidRPr="000D38E4">
        <w:rPr>
          <w:rFonts w:ascii="Arial" w:hAnsi="Arial" w:cs="Arial"/>
          <w:sz w:val="22"/>
          <w:szCs w:val="22"/>
        </w:rPr>
        <w:t xml:space="preserve">Each course meeting will include lecture on key points of the day's topic(s) and a period of questions and answers. Many of the sessions will include time to debate issues and challenge assumptions raised by students, the instructor, and the text author. Several sessions will include small group work (e.g., time to review </w:t>
      </w:r>
      <w:proofErr w:type="gramStart"/>
      <w:r w:rsidRPr="000D38E4">
        <w:rPr>
          <w:rFonts w:ascii="Arial" w:hAnsi="Arial" w:cs="Arial"/>
          <w:sz w:val="22"/>
          <w:szCs w:val="22"/>
        </w:rPr>
        <w:t>text book</w:t>
      </w:r>
      <w:proofErr w:type="gramEnd"/>
      <w:r w:rsidRPr="000D38E4">
        <w:rPr>
          <w:rFonts w:ascii="Arial" w:hAnsi="Arial" w:cs="Arial"/>
          <w:sz w:val="22"/>
          <w:szCs w:val="22"/>
        </w:rPr>
        <w:t xml:space="preserve"> material and others presented in class).  </w:t>
      </w:r>
      <w:proofErr w:type="gramStart"/>
      <w:r w:rsidRPr="000D38E4">
        <w:rPr>
          <w:rFonts w:ascii="Arial" w:hAnsi="Arial" w:cs="Arial"/>
          <w:sz w:val="22"/>
          <w:szCs w:val="22"/>
        </w:rPr>
        <w:t>As the instructor, I assume the following responsibilities: to present material in a clear and contextualized format, to provide opportunity for students to pursue additional clarification in and out of class, to develop and employ fair and meaningful assessment activities, to use results of evaluation activities for instructional feedback and course planning, and to provide opportunities for recourse if students believe they have been unfairly evaluated.</w:t>
      </w:r>
      <w:proofErr w:type="gramEnd"/>
    </w:p>
    <w:p w:rsidR="00685741" w:rsidRPr="000D38E4" w:rsidRDefault="00685741" w:rsidP="00685741">
      <w:pPr>
        <w:rPr>
          <w:rFonts w:ascii="Arial" w:hAnsi="Arial" w:cs="Arial"/>
          <w:sz w:val="22"/>
          <w:szCs w:val="22"/>
        </w:rPr>
      </w:pPr>
    </w:p>
    <w:p w:rsidR="00685741" w:rsidRPr="000D38E4" w:rsidRDefault="00685741" w:rsidP="00685741">
      <w:pPr>
        <w:rPr>
          <w:rFonts w:ascii="Arial" w:hAnsi="Arial" w:cs="Arial"/>
          <w:b/>
          <w:sz w:val="22"/>
          <w:szCs w:val="22"/>
        </w:rPr>
      </w:pPr>
      <w:r w:rsidRPr="000D38E4">
        <w:rPr>
          <w:rFonts w:ascii="Arial" w:hAnsi="Arial" w:cs="Arial"/>
          <w:b/>
          <w:i/>
          <w:iCs/>
          <w:sz w:val="22"/>
          <w:szCs w:val="22"/>
        </w:rPr>
        <w:t>Technology</w:t>
      </w:r>
      <w:r w:rsidRPr="000D38E4">
        <w:rPr>
          <w:rFonts w:ascii="Arial" w:hAnsi="Arial" w:cs="Arial"/>
          <w:b/>
          <w:sz w:val="22"/>
          <w:szCs w:val="22"/>
        </w:rPr>
        <w:t>:</w:t>
      </w:r>
    </w:p>
    <w:p w:rsidR="00685741" w:rsidRPr="000D38E4" w:rsidRDefault="00685741" w:rsidP="00685741">
      <w:pPr>
        <w:rPr>
          <w:rFonts w:ascii="Arial" w:hAnsi="Arial" w:cs="Arial"/>
          <w:sz w:val="22"/>
          <w:szCs w:val="22"/>
        </w:rPr>
      </w:pPr>
      <w:r w:rsidRPr="000D38E4">
        <w:rPr>
          <w:rFonts w:ascii="Arial" w:hAnsi="Arial" w:cs="Arial"/>
          <w:sz w:val="22"/>
          <w:szCs w:val="22"/>
        </w:rPr>
        <w:t xml:space="preserve">Technology is becoming increasingly important in education and we will pursue learning with the aid of technology in several ways.  Students </w:t>
      </w:r>
      <w:proofErr w:type="gramStart"/>
      <w:r w:rsidRPr="000D38E4">
        <w:rPr>
          <w:rFonts w:ascii="Arial" w:hAnsi="Arial" w:cs="Arial"/>
          <w:sz w:val="22"/>
          <w:szCs w:val="22"/>
        </w:rPr>
        <w:t>will be allowed</w:t>
      </w:r>
      <w:proofErr w:type="gramEnd"/>
      <w:r w:rsidRPr="000D38E4">
        <w:rPr>
          <w:rFonts w:ascii="Arial" w:hAnsi="Arial" w:cs="Arial"/>
          <w:sz w:val="22"/>
          <w:szCs w:val="22"/>
        </w:rPr>
        <w:t xml:space="preserve"> to submit projects electronically. Students are encouraged to investigate survey-related web sites to support their reading and project work.  A page of links to additional readings and resources </w:t>
      </w:r>
      <w:proofErr w:type="gramStart"/>
      <w:r w:rsidRPr="000D38E4">
        <w:rPr>
          <w:rFonts w:ascii="Arial" w:hAnsi="Arial" w:cs="Arial"/>
          <w:sz w:val="22"/>
          <w:szCs w:val="22"/>
        </w:rPr>
        <w:t>is provided</w:t>
      </w:r>
      <w:proofErr w:type="gramEnd"/>
      <w:r w:rsidRPr="000D38E4">
        <w:rPr>
          <w:rFonts w:ascii="Arial" w:hAnsi="Arial" w:cs="Arial"/>
          <w:sz w:val="22"/>
          <w:szCs w:val="22"/>
        </w:rPr>
        <w:t xml:space="preserve"> at the class website.  During discussions of sampling and data analysis, computer demonstrations </w:t>
      </w:r>
      <w:proofErr w:type="gramStart"/>
      <w:r w:rsidRPr="000D38E4">
        <w:rPr>
          <w:rFonts w:ascii="Arial" w:hAnsi="Arial" w:cs="Arial"/>
          <w:sz w:val="22"/>
          <w:szCs w:val="22"/>
        </w:rPr>
        <w:t>will be conducted</w:t>
      </w:r>
      <w:proofErr w:type="gramEnd"/>
      <w:r w:rsidRPr="000D38E4">
        <w:rPr>
          <w:rFonts w:ascii="Arial" w:hAnsi="Arial" w:cs="Arial"/>
          <w:sz w:val="22"/>
          <w:szCs w:val="22"/>
        </w:rPr>
        <w:t xml:space="preserve"> in class to illustrate various topics.  At least one class session </w:t>
      </w:r>
      <w:proofErr w:type="gramStart"/>
      <w:r w:rsidRPr="000D38E4">
        <w:rPr>
          <w:rFonts w:ascii="Arial" w:hAnsi="Arial" w:cs="Arial"/>
          <w:sz w:val="22"/>
          <w:szCs w:val="22"/>
        </w:rPr>
        <w:t>will be held</w:t>
      </w:r>
      <w:proofErr w:type="gramEnd"/>
      <w:r w:rsidRPr="000D38E4">
        <w:rPr>
          <w:rFonts w:ascii="Arial" w:hAnsi="Arial" w:cs="Arial"/>
          <w:sz w:val="22"/>
          <w:szCs w:val="22"/>
        </w:rPr>
        <w:t xml:space="preserve"> in a computer lab to conduct hands-on computing using software to complete the sampling and data analysis exercises. </w:t>
      </w:r>
    </w:p>
    <w:p w:rsidR="00685741" w:rsidRPr="000D38E4" w:rsidRDefault="00685741" w:rsidP="00685741">
      <w:pPr>
        <w:rPr>
          <w:rFonts w:ascii="Arial" w:hAnsi="Arial" w:cs="Arial"/>
          <w:i/>
          <w:iCs/>
          <w:sz w:val="22"/>
          <w:szCs w:val="22"/>
        </w:rPr>
      </w:pPr>
    </w:p>
    <w:p w:rsidR="00685741" w:rsidRPr="000D38E4" w:rsidRDefault="00685741" w:rsidP="00685741">
      <w:pPr>
        <w:rPr>
          <w:rFonts w:ascii="Arial" w:hAnsi="Arial" w:cs="Arial"/>
          <w:b/>
          <w:sz w:val="22"/>
          <w:szCs w:val="22"/>
        </w:rPr>
      </w:pPr>
      <w:r w:rsidRPr="000D38E4">
        <w:rPr>
          <w:rFonts w:ascii="Arial" w:hAnsi="Arial" w:cs="Arial"/>
          <w:b/>
          <w:i/>
          <w:iCs/>
          <w:sz w:val="22"/>
          <w:szCs w:val="22"/>
        </w:rPr>
        <w:t>Diversity</w:t>
      </w:r>
      <w:r w:rsidRPr="000D38E4">
        <w:rPr>
          <w:rFonts w:ascii="Arial" w:hAnsi="Arial" w:cs="Arial"/>
          <w:b/>
          <w:sz w:val="22"/>
          <w:szCs w:val="22"/>
        </w:rPr>
        <w:t>:</w:t>
      </w:r>
    </w:p>
    <w:p w:rsidR="00685741" w:rsidRPr="000D38E4" w:rsidRDefault="00685741" w:rsidP="00685741">
      <w:pPr>
        <w:rPr>
          <w:rFonts w:ascii="Arial" w:hAnsi="Arial" w:cs="Arial"/>
          <w:sz w:val="22"/>
          <w:szCs w:val="22"/>
        </w:rPr>
      </w:pPr>
      <w:r w:rsidRPr="000D38E4">
        <w:rPr>
          <w:rFonts w:ascii="Arial" w:hAnsi="Arial" w:cs="Arial"/>
          <w:sz w:val="22"/>
          <w:szCs w:val="22"/>
        </w:rPr>
        <w:t xml:space="preserve">The College of Education and Human Development is committed to have every course contribute to our understanding of diversity, including but not limited to: age, creed, disability, ethnicity, gender, global perspectives, international background, language background, learning differences, marital status, multicultural perspectives, national origin, public assistance status, race, religion, sex, sexual orientation, and veteran status. Each of these characteristics plays a role in educational and psychological measurement and research.   They are factors that contribute to individual and group differences -- they (may) affect the constructs we set out to measure and the way we interpret and report survey results.  These issues will </w:t>
      </w:r>
      <w:proofErr w:type="gramStart"/>
      <w:r w:rsidRPr="000D38E4">
        <w:rPr>
          <w:rFonts w:ascii="Arial" w:hAnsi="Arial" w:cs="Arial"/>
          <w:sz w:val="22"/>
          <w:szCs w:val="22"/>
        </w:rPr>
        <w:t>be addressed</w:t>
      </w:r>
      <w:proofErr w:type="gramEnd"/>
      <w:r w:rsidRPr="000D38E4">
        <w:rPr>
          <w:rFonts w:ascii="Arial" w:hAnsi="Arial" w:cs="Arial"/>
          <w:sz w:val="22"/>
          <w:szCs w:val="22"/>
        </w:rPr>
        <w:t xml:space="preserve"> throughout the course and will be used as topics of debate and considerations of selecting survey methods to understand the role of group differences in evaluating survey results.</w:t>
      </w:r>
    </w:p>
    <w:p w:rsidR="00685741" w:rsidRPr="000D38E4" w:rsidRDefault="00685741" w:rsidP="00685741">
      <w:pPr>
        <w:rPr>
          <w:rFonts w:ascii="Arial" w:hAnsi="Arial" w:cs="Arial"/>
          <w:sz w:val="22"/>
          <w:szCs w:val="22"/>
        </w:rPr>
      </w:pPr>
    </w:p>
    <w:p w:rsidR="00685741" w:rsidRPr="000D38E4" w:rsidRDefault="00685741" w:rsidP="00685741">
      <w:pPr>
        <w:pStyle w:val="Heading3"/>
        <w:rPr>
          <w:rFonts w:cs="Arial"/>
          <w:b w:val="0"/>
          <w:i/>
          <w:sz w:val="22"/>
          <w:szCs w:val="22"/>
        </w:rPr>
      </w:pPr>
      <w:r w:rsidRPr="000D38E4">
        <w:rPr>
          <w:rFonts w:cs="Arial"/>
          <w:sz w:val="22"/>
          <w:szCs w:val="22"/>
        </w:rPr>
        <w:t>Late Work and Incompletes</w:t>
      </w:r>
    </w:p>
    <w:p w:rsidR="00685741" w:rsidRPr="000D38E4" w:rsidRDefault="00685741" w:rsidP="00685741">
      <w:pPr>
        <w:rPr>
          <w:rFonts w:ascii="Arial" w:hAnsi="Arial" w:cs="Arial"/>
          <w:sz w:val="22"/>
          <w:szCs w:val="22"/>
        </w:rPr>
      </w:pPr>
      <w:r w:rsidRPr="000D38E4">
        <w:rPr>
          <w:rFonts w:ascii="Arial" w:hAnsi="Arial" w:cs="Arial"/>
          <w:sz w:val="22"/>
          <w:szCs w:val="22"/>
        </w:rPr>
        <w:t xml:space="preserve">No points </w:t>
      </w:r>
      <w:proofErr w:type="gramStart"/>
      <w:r w:rsidRPr="000D38E4">
        <w:rPr>
          <w:rFonts w:ascii="Arial" w:hAnsi="Arial" w:cs="Arial"/>
          <w:sz w:val="22"/>
          <w:szCs w:val="22"/>
        </w:rPr>
        <w:t>will be deducted</w:t>
      </w:r>
      <w:proofErr w:type="gramEnd"/>
      <w:r w:rsidRPr="000D38E4">
        <w:rPr>
          <w:rFonts w:ascii="Arial" w:hAnsi="Arial" w:cs="Arial"/>
          <w:sz w:val="22"/>
          <w:szCs w:val="22"/>
        </w:rPr>
        <w:t xml:space="preserve"> for late work. It is up to you to stay on track. An incomplete (</w:t>
      </w:r>
      <w:r w:rsidRPr="000D38E4">
        <w:rPr>
          <w:sz w:val="22"/>
          <w:szCs w:val="22"/>
        </w:rPr>
        <w:t>I</w:t>
      </w:r>
      <w:r w:rsidRPr="000D38E4">
        <w:rPr>
          <w:rFonts w:ascii="Arial" w:hAnsi="Arial" w:cs="Arial"/>
          <w:sz w:val="22"/>
          <w:szCs w:val="22"/>
        </w:rPr>
        <w:t xml:space="preserve">) will be assigned only if agreed to prior to the last week of class. If at the end of the semester course work is incomplete and no prior notification </w:t>
      </w:r>
      <w:proofErr w:type="gramStart"/>
      <w:r w:rsidRPr="000D38E4">
        <w:rPr>
          <w:rFonts w:ascii="Arial" w:hAnsi="Arial" w:cs="Arial"/>
          <w:sz w:val="22"/>
          <w:szCs w:val="22"/>
        </w:rPr>
        <w:t>has been given</w:t>
      </w:r>
      <w:proofErr w:type="gramEnd"/>
      <w:r w:rsidRPr="000D38E4">
        <w:rPr>
          <w:rFonts w:ascii="Arial" w:hAnsi="Arial" w:cs="Arial"/>
          <w:sz w:val="22"/>
          <w:szCs w:val="22"/>
        </w:rPr>
        <w:t xml:space="preserve">, the grade based on points obtained at that time will be awarded. No options </w:t>
      </w:r>
      <w:proofErr w:type="gramStart"/>
      <w:r w:rsidRPr="000D38E4">
        <w:rPr>
          <w:rFonts w:ascii="Arial" w:hAnsi="Arial" w:cs="Arial"/>
          <w:sz w:val="22"/>
          <w:szCs w:val="22"/>
        </w:rPr>
        <w:t>will be given</w:t>
      </w:r>
      <w:proofErr w:type="gramEnd"/>
      <w:r w:rsidRPr="000D38E4">
        <w:rPr>
          <w:rFonts w:ascii="Arial" w:hAnsi="Arial" w:cs="Arial"/>
          <w:sz w:val="22"/>
          <w:szCs w:val="22"/>
        </w:rPr>
        <w:t xml:space="preserve"> at that point to submit incomplete work.</w:t>
      </w:r>
    </w:p>
    <w:p w:rsidR="00685741" w:rsidRPr="000D38E4" w:rsidRDefault="00685741" w:rsidP="00685741">
      <w:pPr>
        <w:tabs>
          <w:tab w:val="left" w:pos="1833"/>
        </w:tabs>
        <w:rPr>
          <w:sz w:val="22"/>
          <w:szCs w:val="22"/>
        </w:rPr>
      </w:pPr>
    </w:p>
    <w:p w:rsidR="00685741" w:rsidRPr="000D38E4" w:rsidRDefault="00685741" w:rsidP="00685741">
      <w:pPr>
        <w:rPr>
          <w:rFonts w:ascii="Arial" w:hAnsi="Arial" w:cs="Arial"/>
          <w:b/>
          <w:sz w:val="22"/>
          <w:szCs w:val="22"/>
        </w:rPr>
      </w:pPr>
      <w:r w:rsidRPr="000D38E4">
        <w:rPr>
          <w:rFonts w:ascii="Arial" w:hAnsi="Arial" w:cs="Arial"/>
          <w:b/>
          <w:sz w:val="22"/>
          <w:szCs w:val="22"/>
        </w:rPr>
        <w:t>Makeup Work for Legitimate Absences:</w:t>
      </w:r>
    </w:p>
    <w:p w:rsidR="00685741" w:rsidRPr="000D38E4" w:rsidRDefault="00685741" w:rsidP="00685741">
      <w:pPr>
        <w:shd w:val="clear" w:color="auto" w:fill="FFFFFF"/>
        <w:rPr>
          <w:rFonts w:ascii="Arial" w:hAnsi="Arial" w:cs="Arial"/>
          <w:color w:val="4C4C4C"/>
          <w:sz w:val="22"/>
          <w:szCs w:val="22"/>
        </w:rPr>
      </w:pPr>
      <w:r w:rsidRPr="000D38E4">
        <w:rPr>
          <w:rFonts w:ascii="Arial" w:hAnsi="Arial" w:cs="Arial"/>
          <w:sz w:val="22"/>
          <w:szCs w:val="22"/>
        </w:rPr>
        <w:t xml:space="preserve">Students </w:t>
      </w:r>
      <w:proofErr w:type="gramStart"/>
      <w:r w:rsidRPr="000D38E4">
        <w:rPr>
          <w:rFonts w:ascii="Arial" w:hAnsi="Arial" w:cs="Arial"/>
          <w:sz w:val="22"/>
          <w:szCs w:val="22"/>
        </w:rPr>
        <w:t>will not be penalized</w:t>
      </w:r>
      <w:proofErr w:type="gramEnd"/>
      <w:r w:rsidRPr="000D38E4">
        <w:rPr>
          <w:rFonts w:ascii="Arial" w:hAnsi="Arial" w:cs="Arial"/>
          <w:sz w:val="22"/>
          <w:szCs w:val="22"/>
        </w:rPr>
        <w:t xml:space="preserve"> for absence during the semester. For complete information about the university absence policy, please see:  </w:t>
      </w:r>
      <w:hyperlink r:id="rId7" w:history="1">
        <w:r w:rsidRPr="000D38E4">
          <w:rPr>
            <w:rStyle w:val="Hyperlink"/>
            <w:rFonts w:ascii="Arial" w:hAnsi="Arial" w:cs="Arial"/>
            <w:sz w:val="22"/>
            <w:szCs w:val="22"/>
          </w:rPr>
          <w:t>http://policy.umn.edu/Policies/Education/Education/MAKEUPWORK.html</w:t>
        </w:r>
      </w:hyperlink>
      <w:r w:rsidRPr="000D38E4">
        <w:rPr>
          <w:rFonts w:ascii="Arial" w:hAnsi="Arial" w:cs="Arial"/>
          <w:color w:val="4C4C4C"/>
          <w:sz w:val="22"/>
          <w:szCs w:val="22"/>
        </w:rPr>
        <w:t>.</w:t>
      </w:r>
    </w:p>
    <w:p w:rsidR="00685741" w:rsidRPr="000D38E4" w:rsidRDefault="00685741" w:rsidP="00685741">
      <w:pPr>
        <w:rPr>
          <w:rFonts w:ascii="Arial" w:hAnsi="Arial" w:cs="Arial"/>
          <w:sz w:val="22"/>
          <w:szCs w:val="22"/>
        </w:rPr>
      </w:pPr>
    </w:p>
    <w:p w:rsidR="00685741" w:rsidRPr="000D38E4" w:rsidRDefault="00685741" w:rsidP="00685741">
      <w:pPr>
        <w:pStyle w:val="Heading3"/>
        <w:rPr>
          <w:rFonts w:cs="Arial"/>
          <w:b w:val="0"/>
          <w:i/>
          <w:sz w:val="22"/>
          <w:szCs w:val="22"/>
        </w:rPr>
      </w:pPr>
      <w:r w:rsidRPr="000D38E4">
        <w:rPr>
          <w:rFonts w:cs="Arial"/>
          <w:sz w:val="22"/>
          <w:szCs w:val="22"/>
        </w:rPr>
        <w:t>Returning Papers, Exams, and Projects</w:t>
      </w:r>
    </w:p>
    <w:p w:rsidR="00685741" w:rsidRPr="000D38E4" w:rsidRDefault="00685741" w:rsidP="00685741">
      <w:pPr>
        <w:rPr>
          <w:rFonts w:ascii="Arial" w:hAnsi="Arial" w:cs="Arial"/>
          <w:sz w:val="22"/>
          <w:szCs w:val="22"/>
        </w:rPr>
      </w:pPr>
      <w:r w:rsidRPr="000D38E4">
        <w:rPr>
          <w:rFonts w:ascii="Arial" w:hAnsi="Arial" w:cs="Arial"/>
          <w:sz w:val="22"/>
          <w:szCs w:val="22"/>
        </w:rPr>
        <w:t xml:space="preserve">Given the size of the class and the extensiveness of student projects, I will try to return work within one week of the due date. If necessary, you may pick up work prior to the following class period if agreed </w:t>
      </w:r>
      <w:proofErr w:type="gramStart"/>
      <w:r w:rsidRPr="000D38E4">
        <w:rPr>
          <w:rFonts w:ascii="Arial" w:hAnsi="Arial" w:cs="Arial"/>
          <w:sz w:val="22"/>
          <w:szCs w:val="22"/>
        </w:rPr>
        <w:t>upon</w:t>
      </w:r>
      <w:proofErr w:type="gramEnd"/>
      <w:r w:rsidRPr="000D38E4">
        <w:rPr>
          <w:rFonts w:ascii="Arial" w:hAnsi="Arial" w:cs="Arial"/>
          <w:sz w:val="22"/>
          <w:szCs w:val="22"/>
        </w:rPr>
        <w:t xml:space="preserve">. If, at the end of the semester, you would like to receive remaining work through U.S. mail, submit a self-addressed stamped envelope. Otherwise, you may pick up final projects once grades </w:t>
      </w:r>
      <w:proofErr w:type="gramStart"/>
      <w:r w:rsidRPr="000D38E4">
        <w:rPr>
          <w:rFonts w:ascii="Arial" w:hAnsi="Arial" w:cs="Arial"/>
          <w:sz w:val="22"/>
          <w:szCs w:val="22"/>
        </w:rPr>
        <w:t>are submitted</w:t>
      </w:r>
      <w:proofErr w:type="gramEnd"/>
      <w:r w:rsidRPr="000D38E4">
        <w:rPr>
          <w:rFonts w:ascii="Arial" w:hAnsi="Arial" w:cs="Arial"/>
          <w:sz w:val="22"/>
          <w:szCs w:val="22"/>
        </w:rPr>
        <w:t xml:space="preserve"> in the Psychological Foundations’ office in 250 Education Sciences Building with a student ID.  Papers will be available there until February 1. Uncollected papers will be destroyed just prior to fall semester the following year.</w:t>
      </w:r>
    </w:p>
    <w:p w:rsidR="00685741" w:rsidRPr="000D38E4" w:rsidRDefault="00685741" w:rsidP="00685741">
      <w:pPr>
        <w:pStyle w:val="NormalWeb"/>
        <w:spacing w:before="0" w:beforeAutospacing="0" w:after="0" w:afterAutospacing="0"/>
        <w:rPr>
          <w:rFonts w:ascii="Arial" w:hAnsi="Arial" w:cs="Arial"/>
          <w:b/>
          <w:bCs/>
          <w:sz w:val="22"/>
          <w:szCs w:val="22"/>
        </w:rPr>
      </w:pPr>
    </w:p>
    <w:p w:rsidR="00685741" w:rsidRPr="000D38E4" w:rsidRDefault="00685741" w:rsidP="00685741">
      <w:pPr>
        <w:pStyle w:val="NormalWeb"/>
        <w:spacing w:before="0" w:beforeAutospacing="0" w:after="0" w:afterAutospacing="0"/>
        <w:rPr>
          <w:rFonts w:ascii="Arial" w:hAnsi="Arial" w:cs="Arial"/>
          <w:sz w:val="22"/>
          <w:szCs w:val="22"/>
        </w:rPr>
      </w:pPr>
      <w:r w:rsidRPr="000D38E4">
        <w:rPr>
          <w:rFonts w:ascii="Arial" w:hAnsi="Arial" w:cs="Arial"/>
          <w:b/>
          <w:bCs/>
          <w:sz w:val="22"/>
          <w:szCs w:val="22"/>
        </w:rPr>
        <w:t>Academic dishonesty</w:t>
      </w:r>
      <w:r w:rsidRPr="000D38E4">
        <w:rPr>
          <w:rFonts w:ascii="Arial" w:hAnsi="Arial" w:cs="Arial"/>
          <w:sz w:val="22"/>
          <w:szCs w:val="22"/>
        </w:rPr>
        <w:t>: academic dishonesty in any portion of the academic work for a course shall be grounds for awarding a grade of F or N for the entire course.</w:t>
      </w:r>
    </w:p>
    <w:p w:rsidR="00685741" w:rsidRPr="000D38E4" w:rsidRDefault="00685741" w:rsidP="00685741">
      <w:pPr>
        <w:pStyle w:val="NormalWeb"/>
        <w:spacing w:before="0" w:beforeAutospacing="0" w:after="0" w:afterAutospacing="0"/>
        <w:rPr>
          <w:rFonts w:ascii="Arial" w:hAnsi="Arial" w:cs="Arial"/>
          <w:b/>
          <w:bCs/>
          <w:color w:val="000000"/>
          <w:sz w:val="22"/>
          <w:szCs w:val="22"/>
        </w:rPr>
      </w:pPr>
      <w:r w:rsidRPr="000D38E4">
        <w:rPr>
          <w:rFonts w:ascii="Arial" w:hAnsi="Arial" w:cs="Arial"/>
          <w:b/>
          <w:bCs/>
          <w:color w:val="000000"/>
          <w:sz w:val="22"/>
          <w:szCs w:val="22"/>
        </w:rPr>
        <w:t xml:space="preserve">University Grading Policy </w:t>
      </w:r>
    </w:p>
    <w:p w:rsidR="00685741" w:rsidRPr="000D38E4" w:rsidRDefault="00A0550C" w:rsidP="00685741">
      <w:pPr>
        <w:rPr>
          <w:rFonts w:ascii="Arial" w:hAnsi="Arial" w:cs="Arial"/>
          <w:sz w:val="22"/>
          <w:szCs w:val="22"/>
        </w:rPr>
      </w:pPr>
      <w:hyperlink r:id="rId8" w:history="1">
        <w:r w:rsidR="00685741" w:rsidRPr="000D38E4">
          <w:rPr>
            <w:rStyle w:val="Hyperlink"/>
            <w:rFonts w:ascii="Arial" w:hAnsi="Arial" w:cs="Arial"/>
            <w:sz w:val="22"/>
            <w:szCs w:val="22"/>
          </w:rPr>
          <w:t>https://policy.umn.edu/education/gradingtranscripts</w:t>
        </w:r>
      </w:hyperlink>
    </w:p>
    <w:p w:rsidR="00685741" w:rsidRPr="006122C4" w:rsidRDefault="00685741" w:rsidP="00685741">
      <w:pPr>
        <w:rPr>
          <w:rFonts w:ascii="Arial" w:hAnsi="Arial" w:cs="Arial"/>
        </w:rPr>
      </w:pPr>
    </w:p>
    <w:tbl>
      <w:tblPr>
        <w:tblW w:w="9810" w:type="dxa"/>
        <w:tblInd w:w="-10" w:type="dxa"/>
        <w:tblLook w:val="04A0" w:firstRow="1" w:lastRow="0" w:firstColumn="1" w:lastColumn="0" w:noHBand="0" w:noVBand="1"/>
      </w:tblPr>
      <w:tblGrid>
        <w:gridCol w:w="540"/>
        <w:gridCol w:w="9270"/>
      </w:tblGrid>
      <w:tr w:rsidR="00685741" w:rsidRPr="00F87C72" w:rsidTr="005D2F14">
        <w:tc>
          <w:tcPr>
            <w:tcW w:w="540" w:type="dxa"/>
            <w:tcBorders>
              <w:top w:val="single" w:sz="8" w:space="0" w:color="DDDDDD"/>
              <w:left w:val="single" w:sz="8" w:space="0" w:color="DDDDDD"/>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rPr>
                <w:rFonts w:ascii="Arial" w:hAnsi="Arial" w:cs="Arial"/>
                <w:color w:val="333333"/>
                <w:sz w:val="20"/>
              </w:rPr>
            </w:pPr>
            <w:r w:rsidRPr="00F87C72">
              <w:rPr>
                <w:rFonts w:ascii="Arial" w:hAnsi="Arial" w:cs="Arial"/>
                <w:color w:val="333333"/>
                <w:sz w:val="20"/>
              </w:rPr>
              <w:t>A</w:t>
            </w:r>
          </w:p>
        </w:tc>
        <w:tc>
          <w:tcPr>
            <w:tcW w:w="9270" w:type="dxa"/>
            <w:tcBorders>
              <w:top w:val="single" w:sz="8" w:space="0" w:color="DDDDDD"/>
              <w:left w:val="nil"/>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ind w:left="642" w:hanging="642"/>
              <w:rPr>
                <w:rFonts w:ascii="Arial" w:hAnsi="Arial" w:cs="Arial"/>
                <w:color w:val="333333"/>
                <w:sz w:val="18"/>
                <w:szCs w:val="18"/>
              </w:rPr>
            </w:pPr>
            <w:r w:rsidRPr="00F87C72">
              <w:rPr>
                <w:rFonts w:ascii="Arial" w:hAnsi="Arial" w:cs="Arial"/>
                <w:color w:val="333333"/>
                <w:sz w:val="18"/>
                <w:szCs w:val="18"/>
              </w:rPr>
              <w:t>4.000 - Represents achievement that is outstanding relative to the level necessary to meet course requirements</w:t>
            </w:r>
          </w:p>
        </w:tc>
      </w:tr>
      <w:tr w:rsidR="00685741" w:rsidRPr="00F87C72" w:rsidTr="005D2F14">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rPr>
                <w:rFonts w:ascii="Arial" w:hAnsi="Arial" w:cs="Arial"/>
                <w:color w:val="333333"/>
                <w:sz w:val="20"/>
              </w:rPr>
            </w:pPr>
            <w:r w:rsidRPr="00F87C72">
              <w:rPr>
                <w:rFonts w:ascii="Arial" w:hAnsi="Arial" w:cs="Arial"/>
                <w:color w:val="333333"/>
                <w:sz w:val="20"/>
              </w:rPr>
              <w:t>B</w:t>
            </w:r>
          </w:p>
        </w:tc>
        <w:tc>
          <w:tcPr>
            <w:tcW w:w="9270" w:type="dxa"/>
            <w:tcBorders>
              <w:top w:val="nil"/>
              <w:left w:val="nil"/>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ind w:left="642" w:hanging="642"/>
              <w:rPr>
                <w:rFonts w:ascii="Arial" w:hAnsi="Arial" w:cs="Arial"/>
                <w:color w:val="333333"/>
                <w:sz w:val="18"/>
                <w:szCs w:val="18"/>
              </w:rPr>
            </w:pPr>
            <w:r w:rsidRPr="00F87C72">
              <w:rPr>
                <w:rFonts w:ascii="Arial" w:hAnsi="Arial" w:cs="Arial"/>
                <w:color w:val="333333"/>
                <w:sz w:val="18"/>
                <w:szCs w:val="18"/>
              </w:rPr>
              <w:t>3.000 - Represents achievement that is significantly above the level necessary to meet course requirements</w:t>
            </w:r>
          </w:p>
        </w:tc>
      </w:tr>
      <w:tr w:rsidR="00685741" w:rsidRPr="00F87C72" w:rsidTr="005D2F14">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rPr>
                <w:rFonts w:ascii="Arial" w:hAnsi="Arial" w:cs="Arial"/>
                <w:color w:val="333333"/>
                <w:sz w:val="20"/>
              </w:rPr>
            </w:pPr>
            <w:r w:rsidRPr="00F87C72">
              <w:rPr>
                <w:rFonts w:ascii="Arial" w:hAnsi="Arial" w:cs="Arial"/>
                <w:color w:val="333333"/>
                <w:sz w:val="20"/>
              </w:rPr>
              <w:t>C</w:t>
            </w:r>
          </w:p>
        </w:tc>
        <w:tc>
          <w:tcPr>
            <w:tcW w:w="9270" w:type="dxa"/>
            <w:tcBorders>
              <w:top w:val="nil"/>
              <w:left w:val="nil"/>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ind w:left="642" w:hanging="642"/>
              <w:rPr>
                <w:rFonts w:ascii="Arial" w:hAnsi="Arial" w:cs="Arial"/>
                <w:color w:val="333333"/>
                <w:sz w:val="18"/>
                <w:szCs w:val="18"/>
              </w:rPr>
            </w:pPr>
            <w:r w:rsidRPr="00F87C72">
              <w:rPr>
                <w:rFonts w:ascii="Arial" w:hAnsi="Arial" w:cs="Arial"/>
                <w:color w:val="333333"/>
                <w:sz w:val="18"/>
                <w:szCs w:val="18"/>
              </w:rPr>
              <w:t>2.000 - Represents achievement that meets the course requirements in every respect</w:t>
            </w:r>
          </w:p>
        </w:tc>
      </w:tr>
      <w:tr w:rsidR="00685741" w:rsidRPr="00F87C72" w:rsidTr="005D2F14">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rPr>
                <w:rFonts w:ascii="Arial" w:hAnsi="Arial" w:cs="Arial"/>
                <w:color w:val="333333"/>
                <w:sz w:val="20"/>
              </w:rPr>
            </w:pPr>
            <w:r w:rsidRPr="00F87C72">
              <w:rPr>
                <w:rFonts w:ascii="Arial" w:hAnsi="Arial" w:cs="Arial"/>
                <w:color w:val="333333"/>
                <w:sz w:val="20"/>
              </w:rPr>
              <w:t>D</w:t>
            </w:r>
          </w:p>
        </w:tc>
        <w:tc>
          <w:tcPr>
            <w:tcW w:w="9270" w:type="dxa"/>
            <w:tcBorders>
              <w:top w:val="nil"/>
              <w:left w:val="nil"/>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ind w:left="642" w:hanging="642"/>
              <w:rPr>
                <w:rFonts w:ascii="Arial" w:hAnsi="Arial" w:cs="Arial"/>
                <w:color w:val="333333"/>
                <w:sz w:val="18"/>
                <w:szCs w:val="18"/>
              </w:rPr>
            </w:pPr>
            <w:r w:rsidRPr="00F87C72">
              <w:rPr>
                <w:rFonts w:ascii="Arial" w:hAnsi="Arial" w:cs="Arial"/>
                <w:color w:val="333333"/>
                <w:sz w:val="18"/>
                <w:szCs w:val="18"/>
              </w:rPr>
              <w:t>1.000 - Represents achievement that is worthy of credit even though it fails to meet fully the course requirements</w:t>
            </w:r>
          </w:p>
        </w:tc>
      </w:tr>
      <w:tr w:rsidR="00685741" w:rsidRPr="00F87C72" w:rsidTr="005D2F14">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rPr>
                <w:rFonts w:ascii="Arial" w:hAnsi="Arial" w:cs="Arial"/>
                <w:color w:val="333333"/>
                <w:sz w:val="20"/>
              </w:rPr>
            </w:pPr>
            <w:r w:rsidRPr="00F87C72">
              <w:rPr>
                <w:rFonts w:ascii="Arial" w:hAnsi="Arial" w:cs="Arial"/>
                <w:color w:val="333333"/>
                <w:sz w:val="20"/>
              </w:rPr>
              <w:t>S</w:t>
            </w:r>
          </w:p>
        </w:tc>
        <w:tc>
          <w:tcPr>
            <w:tcW w:w="9270" w:type="dxa"/>
            <w:tcBorders>
              <w:top w:val="nil"/>
              <w:left w:val="nil"/>
              <w:bottom w:val="single" w:sz="8" w:space="0" w:color="DDDDDD"/>
              <w:right w:val="single" w:sz="8" w:space="0" w:color="DDDDDD"/>
            </w:tcBorders>
            <w:shd w:val="clear" w:color="000000" w:fill="FFFFFF"/>
            <w:vAlign w:val="center"/>
            <w:hideMark/>
          </w:tcPr>
          <w:p w:rsidR="00685741" w:rsidRPr="00F87C72" w:rsidRDefault="00685741" w:rsidP="005D2F14">
            <w:pPr>
              <w:spacing w:before="40" w:after="40"/>
              <w:ind w:left="642" w:hanging="642"/>
              <w:rPr>
                <w:rFonts w:ascii="Arial" w:hAnsi="Arial" w:cs="Arial"/>
                <w:color w:val="333333"/>
                <w:sz w:val="18"/>
                <w:szCs w:val="18"/>
              </w:rPr>
            </w:pPr>
            <w:r w:rsidRPr="00F87C72">
              <w:rPr>
                <w:rFonts w:ascii="Arial" w:hAnsi="Arial" w:cs="Arial"/>
                <w:color w:val="333333"/>
                <w:sz w:val="18"/>
                <w:szCs w:val="18"/>
              </w:rPr>
              <w:t>Represents achievement that is satisfactory, which is equivalent to a C- or better.</w:t>
            </w:r>
          </w:p>
        </w:tc>
      </w:tr>
    </w:tbl>
    <w:p w:rsidR="00685741" w:rsidRPr="00C310C3" w:rsidRDefault="00685741" w:rsidP="00685741"/>
    <w:tbl>
      <w:tblPr>
        <w:tblW w:w="3079" w:type="pct"/>
        <w:tblInd w:w="1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3"/>
        <w:gridCol w:w="2931"/>
      </w:tblGrid>
      <w:tr w:rsidR="00685741" w:rsidRPr="00BD3B9D" w:rsidTr="005D2F14">
        <w:tc>
          <w:tcPr>
            <w:tcW w:w="2453" w:type="pct"/>
          </w:tcPr>
          <w:p w:rsidR="00685741" w:rsidRPr="00BD3B9D" w:rsidRDefault="00685741" w:rsidP="005D2F14">
            <w:pPr>
              <w:pStyle w:val="Heading2"/>
              <w:rPr>
                <w:b w:val="0"/>
                <w:bCs w:val="0"/>
                <w:sz w:val="20"/>
                <w:szCs w:val="20"/>
              </w:rPr>
            </w:pPr>
            <w:r w:rsidRPr="00BD3B9D">
              <w:rPr>
                <w:rStyle w:val="Strong"/>
                <w:bCs/>
                <w:sz w:val="20"/>
                <w:szCs w:val="20"/>
              </w:rPr>
              <w:t>Letter Grade</w:t>
            </w:r>
          </w:p>
        </w:tc>
        <w:tc>
          <w:tcPr>
            <w:tcW w:w="2547" w:type="pct"/>
          </w:tcPr>
          <w:p w:rsidR="00685741" w:rsidRPr="00BD3B9D" w:rsidRDefault="00685741" w:rsidP="005D2F14">
            <w:pPr>
              <w:pStyle w:val="Heading2"/>
              <w:rPr>
                <w:bCs w:val="0"/>
                <w:sz w:val="20"/>
                <w:szCs w:val="20"/>
              </w:rPr>
            </w:pPr>
            <w:r w:rsidRPr="00BD3B9D">
              <w:rPr>
                <w:rStyle w:val="Strong"/>
                <w:sz w:val="20"/>
                <w:szCs w:val="20"/>
              </w:rPr>
              <w:t>Percentage</w:t>
            </w:r>
          </w:p>
        </w:tc>
      </w:tr>
      <w:tr w:rsidR="00685741" w:rsidRPr="00BD3B9D" w:rsidTr="005D2F14">
        <w:tc>
          <w:tcPr>
            <w:tcW w:w="2453" w:type="pct"/>
          </w:tcPr>
          <w:p w:rsidR="00685741" w:rsidRPr="00BD3B9D" w:rsidRDefault="00685741" w:rsidP="005D2F14">
            <w:pPr>
              <w:ind w:left="1268"/>
              <w:rPr>
                <w:rStyle w:val="Strong"/>
                <w:rFonts w:ascii="Arial" w:hAnsi="Arial" w:cs="Arial"/>
                <w:b w:val="0"/>
                <w:bCs w:val="0"/>
                <w:sz w:val="20"/>
              </w:rPr>
            </w:pPr>
            <w:r w:rsidRPr="00BD3B9D">
              <w:rPr>
                <w:rFonts w:ascii="Arial" w:hAnsi="Arial" w:cs="Arial"/>
                <w:sz w:val="20"/>
              </w:rPr>
              <w:t>A</w:t>
            </w:r>
          </w:p>
        </w:tc>
        <w:tc>
          <w:tcPr>
            <w:tcW w:w="2547" w:type="pct"/>
          </w:tcPr>
          <w:p w:rsidR="00685741" w:rsidRPr="00BD3B9D" w:rsidRDefault="00685741" w:rsidP="005D2F14">
            <w:pPr>
              <w:jc w:val="center"/>
              <w:rPr>
                <w:rStyle w:val="Strong"/>
                <w:rFonts w:ascii="Arial" w:hAnsi="Arial" w:cs="Arial"/>
                <w:b w:val="0"/>
                <w:bCs w:val="0"/>
                <w:sz w:val="20"/>
              </w:rPr>
            </w:pPr>
            <w:r w:rsidRPr="00BD3B9D">
              <w:rPr>
                <w:rFonts w:ascii="Arial" w:hAnsi="Arial" w:cs="Arial"/>
                <w:sz w:val="20"/>
              </w:rPr>
              <w:t>95-100%</w:t>
            </w:r>
          </w:p>
        </w:tc>
      </w:tr>
      <w:tr w:rsidR="00685741" w:rsidRPr="00BD3B9D" w:rsidTr="005D2F14">
        <w:tc>
          <w:tcPr>
            <w:tcW w:w="2453" w:type="pct"/>
          </w:tcPr>
          <w:p w:rsidR="00685741" w:rsidRPr="00BD3B9D" w:rsidRDefault="00685741" w:rsidP="005D2F14">
            <w:pPr>
              <w:ind w:left="1268"/>
              <w:rPr>
                <w:rStyle w:val="Strong"/>
                <w:rFonts w:ascii="Arial" w:hAnsi="Arial" w:cs="Arial"/>
                <w:b w:val="0"/>
                <w:bCs w:val="0"/>
                <w:sz w:val="20"/>
              </w:rPr>
            </w:pPr>
            <w:r w:rsidRPr="00BD3B9D">
              <w:rPr>
                <w:rFonts w:ascii="Arial" w:hAnsi="Arial" w:cs="Arial"/>
                <w:sz w:val="20"/>
              </w:rPr>
              <w:t>A-</w:t>
            </w:r>
          </w:p>
        </w:tc>
        <w:tc>
          <w:tcPr>
            <w:tcW w:w="2547" w:type="pct"/>
          </w:tcPr>
          <w:p w:rsidR="00685741" w:rsidRPr="00BD3B9D" w:rsidRDefault="00685741" w:rsidP="005D2F14">
            <w:pPr>
              <w:jc w:val="center"/>
              <w:rPr>
                <w:rStyle w:val="Strong"/>
                <w:rFonts w:ascii="Arial" w:hAnsi="Arial" w:cs="Arial"/>
                <w:b w:val="0"/>
                <w:bCs w:val="0"/>
                <w:sz w:val="20"/>
              </w:rPr>
            </w:pPr>
            <w:r w:rsidRPr="00BD3B9D">
              <w:rPr>
                <w:rFonts w:ascii="Arial" w:hAnsi="Arial" w:cs="Arial"/>
                <w:sz w:val="20"/>
              </w:rPr>
              <w:t>90-94.9%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B+</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85-89.9%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B</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80-84.9%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B-</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75-79.9%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C+</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70-74.9%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C</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65-69.9%</w:t>
            </w:r>
          </w:p>
        </w:tc>
      </w:tr>
      <w:tr w:rsidR="00685741" w:rsidRPr="00BD3B9D" w:rsidTr="005D2F14">
        <w:tc>
          <w:tcPr>
            <w:tcW w:w="2453" w:type="pct"/>
          </w:tcPr>
          <w:p w:rsidR="00685741" w:rsidRPr="00BD3B9D" w:rsidRDefault="00685741" w:rsidP="005D2F14">
            <w:pPr>
              <w:ind w:left="1268"/>
              <w:rPr>
                <w:rFonts w:ascii="Arial" w:hAnsi="Arial" w:cs="Arial"/>
                <w:sz w:val="20"/>
              </w:rPr>
            </w:pPr>
            <w:r w:rsidRPr="00BD3B9D">
              <w:rPr>
                <w:rFonts w:ascii="Arial" w:hAnsi="Arial" w:cs="Arial"/>
                <w:sz w:val="20"/>
              </w:rPr>
              <w:t>C-</w:t>
            </w:r>
          </w:p>
        </w:tc>
        <w:tc>
          <w:tcPr>
            <w:tcW w:w="2547" w:type="pct"/>
          </w:tcPr>
          <w:p w:rsidR="00685741" w:rsidRPr="00BD3B9D" w:rsidRDefault="00685741" w:rsidP="005D2F14">
            <w:pPr>
              <w:jc w:val="center"/>
              <w:rPr>
                <w:rFonts w:ascii="Arial" w:hAnsi="Arial" w:cs="Arial"/>
                <w:sz w:val="20"/>
              </w:rPr>
            </w:pPr>
            <w:r w:rsidRPr="00BD3B9D">
              <w:rPr>
                <w:rFonts w:ascii="Arial" w:hAnsi="Arial" w:cs="Arial"/>
                <w:sz w:val="20"/>
              </w:rPr>
              <w:t>60-64.9%</w:t>
            </w:r>
          </w:p>
        </w:tc>
      </w:tr>
    </w:tbl>
    <w:p w:rsidR="00685741" w:rsidRPr="00B158CF" w:rsidRDefault="00685741" w:rsidP="00685741">
      <w:pPr>
        <w:pStyle w:val="NormalWeb"/>
        <w:spacing w:before="0" w:beforeAutospacing="0" w:after="0" w:afterAutospacing="0"/>
        <w:rPr>
          <w:rFonts w:ascii="Arial" w:hAnsi="Arial" w:cs="Arial"/>
          <w:b/>
          <w:bCs/>
          <w:sz w:val="22"/>
          <w:szCs w:val="22"/>
        </w:rPr>
      </w:pPr>
    </w:p>
    <w:p w:rsidR="00685741" w:rsidRPr="00313B5A" w:rsidRDefault="00685741" w:rsidP="00685741">
      <w:pPr>
        <w:pStyle w:val="Heading3"/>
        <w:rPr>
          <w:rFonts w:cs="Arial"/>
          <w:b w:val="0"/>
          <w:i/>
          <w:sz w:val="20"/>
          <w:szCs w:val="20"/>
        </w:rPr>
      </w:pPr>
      <w:r w:rsidRPr="00313B5A">
        <w:rPr>
          <w:rFonts w:cs="Arial"/>
          <w:sz w:val="20"/>
          <w:szCs w:val="20"/>
        </w:rPr>
        <w:t>How to Access Your Grades</w:t>
      </w:r>
    </w:p>
    <w:p w:rsidR="004A0991" w:rsidRDefault="00685741" w:rsidP="00685741">
      <w:pPr>
        <w:pStyle w:val="PlainText"/>
        <w:rPr>
          <w:rFonts w:ascii="Arial" w:hAnsi="Arial" w:cs="Arial"/>
        </w:rPr>
      </w:pPr>
      <w:r w:rsidRPr="00313B5A">
        <w:rPr>
          <w:rFonts w:ascii="Arial" w:hAnsi="Arial" w:cs="Arial"/>
        </w:rPr>
        <w:t xml:space="preserve">Go to </w:t>
      </w:r>
      <w:proofErr w:type="spellStart"/>
      <w:r w:rsidRPr="00313B5A">
        <w:rPr>
          <w:rFonts w:ascii="Arial" w:hAnsi="Arial" w:cs="Arial"/>
        </w:rPr>
        <w:t>OneStop</w:t>
      </w:r>
      <w:proofErr w:type="spellEnd"/>
      <w:r w:rsidRPr="00313B5A">
        <w:rPr>
          <w:rFonts w:ascii="Arial" w:hAnsi="Arial" w:cs="Arial"/>
        </w:rPr>
        <w:t xml:space="preserve"> for Students (</w:t>
      </w:r>
      <w:hyperlink r:id="rId9" w:history="1">
        <w:r w:rsidRPr="00313B5A">
          <w:rPr>
            <w:rStyle w:val="Hyperlink"/>
            <w:rFonts w:ascii="Arial" w:hAnsi="Arial" w:cs="Arial"/>
          </w:rPr>
          <w:t>http://onestop.umn.edu/onestop/</w:t>
        </w:r>
      </w:hyperlink>
      <w:r w:rsidRPr="00313B5A">
        <w:rPr>
          <w:rFonts w:ascii="Arial" w:hAnsi="Arial" w:cs="Arial"/>
        </w:rPr>
        <w:t>), click on Grades &amp; Transcripts; on the right side under Quick Links, click on Grades/Unofficial transcript.</w:t>
      </w:r>
    </w:p>
    <w:p w:rsidR="004A0991" w:rsidRDefault="004A0991" w:rsidP="00685741">
      <w:pPr>
        <w:pStyle w:val="PlainText"/>
        <w:rPr>
          <w:rFonts w:ascii="Arial" w:hAnsi="Arial" w:cs="Arial"/>
        </w:rPr>
      </w:pPr>
    </w:p>
    <w:p w:rsidR="000D38E4" w:rsidRDefault="000D38E4">
      <w:pPr>
        <w:rPr>
          <w:rFonts w:ascii="Arial" w:hAnsi="Arial" w:cs="Arial"/>
          <w:b/>
          <w:sz w:val="20"/>
          <w:szCs w:val="20"/>
        </w:rPr>
      </w:pPr>
      <w:r>
        <w:rPr>
          <w:rFonts w:ascii="Arial" w:hAnsi="Arial" w:cs="Arial"/>
          <w:b/>
          <w:sz w:val="20"/>
          <w:szCs w:val="20"/>
        </w:rPr>
        <w:br w:type="page"/>
      </w:r>
    </w:p>
    <w:p w:rsidR="00685741" w:rsidRPr="00313B5A" w:rsidRDefault="00685741" w:rsidP="00685741">
      <w:pPr>
        <w:pStyle w:val="NormalWeb"/>
        <w:spacing w:before="0" w:beforeAutospacing="0" w:after="0" w:afterAutospacing="0"/>
        <w:rPr>
          <w:rFonts w:ascii="Arial" w:hAnsi="Arial" w:cs="Arial"/>
          <w:b/>
          <w:sz w:val="20"/>
          <w:szCs w:val="20"/>
        </w:rPr>
      </w:pPr>
      <w:r w:rsidRPr="00313B5A">
        <w:rPr>
          <w:rFonts w:ascii="Arial" w:hAnsi="Arial" w:cs="Arial"/>
          <w:b/>
          <w:sz w:val="20"/>
          <w:szCs w:val="20"/>
        </w:rPr>
        <w:lastRenderedPageBreak/>
        <w:t xml:space="preserve">Workload Expectation </w:t>
      </w:r>
      <w:r w:rsidRPr="00313B5A">
        <w:rPr>
          <w:rFonts w:ascii="Arial" w:hAnsi="Arial" w:cs="Arial"/>
          <w:sz w:val="20"/>
          <w:szCs w:val="20"/>
        </w:rPr>
        <w:t xml:space="preserve">(Policy: </w:t>
      </w:r>
      <w:hyperlink r:id="rId10" w:history="1">
        <w:r w:rsidRPr="00313B5A">
          <w:rPr>
            <w:rStyle w:val="Hyperlink"/>
            <w:rFonts w:ascii="Arial" w:hAnsi="Arial" w:cs="Arial"/>
            <w:sz w:val="20"/>
            <w:szCs w:val="20"/>
          </w:rPr>
          <w:t>Expected Student Academic Work per Credit</w:t>
        </w:r>
      </w:hyperlink>
      <w:r w:rsidRPr="00313B5A">
        <w:rPr>
          <w:rFonts w:ascii="Arial" w:hAnsi="Arial" w:cs="Arial"/>
          <w:sz w:val="20"/>
          <w:szCs w:val="20"/>
        </w:rPr>
        <w:t>)</w:t>
      </w:r>
    </w:p>
    <w:p w:rsidR="00685741" w:rsidRPr="00313B5A" w:rsidRDefault="00685741" w:rsidP="00685741">
      <w:pPr>
        <w:rPr>
          <w:rFonts w:ascii="Arial" w:hAnsi="Arial" w:cs="Arial"/>
          <w:sz w:val="20"/>
        </w:rPr>
      </w:pPr>
      <w:proofErr w:type="gramStart"/>
      <w:r w:rsidRPr="00313B5A">
        <w:rPr>
          <w:rFonts w:ascii="Arial" w:hAnsi="Arial" w:cs="Arial"/>
          <w:sz w:val="20"/>
        </w:rPr>
        <w:t>The Senate affirms the standard (first adopted by the University Senate on February 16, 1922, and reaffirmed 1993) that one semester credit is to represent, for the average University of Minnesota undergraduate student, three hours of academic work per week (including lectures, laboratories, recitations, discussion groups, field work, study, and so on), or approximately 45 hours of work over the course of an enrollment period.</w:t>
      </w:r>
      <w:proofErr w:type="gramEnd"/>
      <w:r w:rsidRPr="00313B5A">
        <w:rPr>
          <w:rFonts w:ascii="Arial" w:hAnsi="Arial" w:cs="Arial"/>
          <w:sz w:val="20"/>
        </w:rPr>
        <w:t xml:space="preserve"> Expectations of faculty and students </w:t>
      </w:r>
      <w:proofErr w:type="gramStart"/>
      <w:r w:rsidRPr="00313B5A">
        <w:rPr>
          <w:rFonts w:ascii="Arial" w:hAnsi="Arial" w:cs="Arial"/>
          <w:sz w:val="20"/>
        </w:rPr>
        <w:t>will be made</w:t>
      </w:r>
      <w:proofErr w:type="gramEnd"/>
      <w:r w:rsidRPr="00313B5A">
        <w:rPr>
          <w:rFonts w:ascii="Arial" w:hAnsi="Arial" w:cs="Arial"/>
          <w:sz w:val="20"/>
        </w:rPr>
        <w:t xml:space="preserve"> clear. It </w:t>
      </w:r>
      <w:proofErr w:type="gramStart"/>
      <w:r w:rsidRPr="00313B5A">
        <w:rPr>
          <w:rFonts w:ascii="Arial" w:hAnsi="Arial" w:cs="Arial"/>
          <w:sz w:val="20"/>
        </w:rPr>
        <w:t>is expected</w:t>
      </w:r>
      <w:proofErr w:type="gramEnd"/>
      <w:r w:rsidRPr="00313B5A">
        <w:rPr>
          <w:rFonts w:ascii="Arial" w:hAnsi="Arial" w:cs="Arial"/>
          <w:sz w:val="20"/>
        </w:rPr>
        <w:t xml:space="preserve"> that the academic work required of graduate and professional students will exceed three hours per credit per week or 45 hours per semester.</w:t>
      </w:r>
    </w:p>
    <w:p w:rsidR="00685741" w:rsidRPr="00313B5A" w:rsidRDefault="00685741" w:rsidP="00685741">
      <w:pPr>
        <w:rPr>
          <w:rFonts w:ascii="Arial" w:hAnsi="Arial" w:cs="Arial"/>
          <w:sz w:val="20"/>
        </w:rPr>
      </w:pPr>
    </w:p>
    <w:p w:rsidR="00685741" w:rsidRPr="00313B5A" w:rsidRDefault="00685741" w:rsidP="00685741">
      <w:pPr>
        <w:pStyle w:val="NormalWeb"/>
        <w:spacing w:before="0" w:beforeAutospacing="0" w:after="0" w:afterAutospacing="0"/>
        <w:rPr>
          <w:rFonts w:ascii="Arial" w:hAnsi="Arial" w:cs="Arial"/>
          <w:b/>
          <w:sz w:val="20"/>
          <w:szCs w:val="20"/>
        </w:rPr>
      </w:pPr>
      <w:r w:rsidRPr="00313B5A">
        <w:rPr>
          <w:rFonts w:ascii="Arial" w:hAnsi="Arial" w:cs="Arial"/>
          <w:b/>
          <w:sz w:val="20"/>
          <w:szCs w:val="20"/>
        </w:rPr>
        <w:t>Scholastic Dishonesty</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You </w:t>
      </w:r>
      <w:proofErr w:type="gramStart"/>
      <w:r w:rsidRPr="00313B5A">
        <w:rPr>
          <w:rFonts w:ascii="Arial" w:hAnsi="Arial" w:cs="Arial"/>
          <w:sz w:val="20"/>
        </w:rPr>
        <w:t>are expected</w:t>
      </w:r>
      <w:proofErr w:type="gramEnd"/>
      <w:r w:rsidRPr="00313B5A">
        <w:rPr>
          <w:rFonts w:ascii="Arial" w:hAnsi="Arial" w:cs="Arial"/>
          <w:sz w:val="20"/>
        </w:rPr>
        <w:t xml:space="preserve"> to do your own academic work and cite sources as necessary. Failing to do so is scholastic dishonesty. </w:t>
      </w:r>
      <w:proofErr w:type="gramStart"/>
      <w:r w:rsidRPr="00313B5A">
        <w:rPr>
          <w:rFonts w:ascii="Arial" w:hAnsi="Arial" w:cs="Arial"/>
          <w:sz w:val="20"/>
        </w:rPr>
        <w:t>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w:t>
      </w:r>
      <w:proofErr w:type="gramEnd"/>
      <w:r w:rsidRPr="00313B5A">
        <w:rPr>
          <w:rFonts w:ascii="Arial" w:hAnsi="Arial" w:cs="Arial"/>
          <w:sz w:val="20"/>
        </w:rPr>
        <w:t xml:space="preserve"> (Student Conduct Code:</w:t>
      </w:r>
      <w:r w:rsidRPr="00313B5A">
        <w:rPr>
          <w:rFonts w:ascii="Arial" w:hAnsi="Arial" w:cs="Arial"/>
          <w:color w:val="4C4C4C"/>
          <w:sz w:val="20"/>
        </w:rPr>
        <w:t xml:space="preserve"> </w:t>
      </w:r>
      <w:hyperlink r:id="rId11" w:history="1">
        <w:r w:rsidRPr="00313B5A">
          <w:rPr>
            <w:rStyle w:val="Hyperlink"/>
            <w:rFonts w:ascii="Arial" w:hAnsi="Arial" w:cs="Arial"/>
            <w:sz w:val="20"/>
          </w:rPr>
          <w:t>http://regents.umn.edu/sites/regents.umn.edu/files/policies/Student_Conduct_Code.pdf</w:t>
        </w:r>
      </w:hyperlink>
      <w:r w:rsidRPr="00313B5A">
        <w:rPr>
          <w:rFonts w:ascii="Arial" w:hAnsi="Arial" w:cs="Arial"/>
          <w:color w:val="4C4C4C"/>
          <w:sz w:val="20"/>
        </w:rPr>
        <w:t xml:space="preserve">) </w:t>
      </w:r>
      <w:r w:rsidRPr="00313B5A">
        <w:rPr>
          <w:rFonts w:ascii="Arial" w:hAnsi="Arial" w:cs="Arial"/>
          <w:sz w:val="20"/>
        </w:rPr>
        <w:t xml:space="preserve">If it is determined that a student has cheated, he or she </w:t>
      </w:r>
      <w:proofErr w:type="gramStart"/>
      <w:r w:rsidRPr="00313B5A">
        <w:rPr>
          <w:rFonts w:ascii="Arial" w:hAnsi="Arial" w:cs="Arial"/>
          <w:sz w:val="20"/>
        </w:rPr>
        <w:t>may be given</w:t>
      </w:r>
      <w:proofErr w:type="gramEnd"/>
      <w:r w:rsidRPr="00313B5A">
        <w:rPr>
          <w:rFonts w:ascii="Arial" w:hAnsi="Arial" w:cs="Arial"/>
          <w:sz w:val="20"/>
        </w:rPr>
        <w:t xml:space="preserve"> an "F" or an "N" for the course, and may face additional sanctions from the University. For additional information, please see:</w:t>
      </w:r>
      <w:r w:rsidRPr="00313B5A">
        <w:rPr>
          <w:rFonts w:ascii="Arial" w:hAnsi="Arial" w:cs="Arial"/>
          <w:color w:val="4C4C4C"/>
          <w:sz w:val="20"/>
        </w:rPr>
        <w:t xml:space="preserve"> </w:t>
      </w:r>
      <w:hyperlink r:id="rId12" w:history="1">
        <w:r w:rsidRPr="00313B5A">
          <w:rPr>
            <w:rStyle w:val="Hyperlink"/>
            <w:rFonts w:ascii="Arial" w:hAnsi="Arial" w:cs="Arial"/>
            <w:sz w:val="20"/>
          </w:rPr>
          <w:t>http://policy.umn.edu/education/instructorresp</w:t>
        </w:r>
      </w:hyperlink>
      <w:r w:rsidRPr="00313B5A">
        <w:rPr>
          <w:rFonts w:ascii="Arial" w:hAnsi="Arial" w:cs="Arial"/>
          <w:color w:val="4C4C4C"/>
          <w:sz w:val="20"/>
        </w:rPr>
        <w:t>.</w:t>
      </w:r>
    </w:p>
    <w:p w:rsidR="00685741" w:rsidRPr="00313B5A" w:rsidRDefault="00685741" w:rsidP="00685741">
      <w:pPr>
        <w:shd w:val="clear" w:color="auto" w:fill="FFFFFF"/>
        <w:rPr>
          <w:rFonts w:ascii="Arial" w:hAnsi="Arial" w:cs="Arial"/>
          <w:color w:val="4C4C4C"/>
          <w:sz w:val="20"/>
        </w:rPr>
      </w:pP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The Office for Student Conduct and Academic Integrity has compiled a useful list of Frequently Asked Questions pertaining to scholastic dishonesty: </w:t>
      </w:r>
      <w:hyperlink r:id="rId13" w:history="1">
        <w:r w:rsidRPr="00313B5A">
          <w:rPr>
            <w:rStyle w:val="Hyperlink"/>
            <w:rFonts w:ascii="Arial" w:hAnsi="Arial" w:cs="Arial"/>
            <w:sz w:val="20"/>
          </w:rPr>
          <w:t>http://www1.umn.edu/oscai/integrity/student/index.html</w:t>
        </w:r>
      </w:hyperlink>
      <w:r w:rsidRPr="00313B5A">
        <w:rPr>
          <w:rFonts w:ascii="Arial" w:hAnsi="Arial" w:cs="Arial"/>
          <w:color w:val="4C4C4C"/>
          <w:sz w:val="20"/>
        </w:rPr>
        <w:t xml:space="preserve">. </w:t>
      </w:r>
      <w:r w:rsidRPr="00313B5A">
        <w:rPr>
          <w:rFonts w:ascii="Arial" w:hAnsi="Arial" w:cs="Arial"/>
          <w:sz w:val="20"/>
        </w:rPr>
        <w:t xml:space="preserve">If you have additional questions, please clarify with your instructor for the course. Your instructor can respond to your specific questions regarding what would constitute scholastic dishonesty in the context of a particular class-e.g., whether collaboration on assignments </w:t>
      </w:r>
      <w:proofErr w:type="gramStart"/>
      <w:r w:rsidRPr="00313B5A">
        <w:rPr>
          <w:rFonts w:ascii="Arial" w:hAnsi="Arial" w:cs="Arial"/>
          <w:sz w:val="20"/>
        </w:rPr>
        <w:t>is permitted</w:t>
      </w:r>
      <w:proofErr w:type="gramEnd"/>
      <w:r w:rsidRPr="00313B5A">
        <w:rPr>
          <w:rFonts w:ascii="Arial" w:hAnsi="Arial" w:cs="Arial"/>
          <w:sz w:val="20"/>
        </w:rPr>
        <w:t>, requirements and methods for citing sources, if electronic aids are permitted or prohibited during an exam.</w:t>
      </w:r>
    </w:p>
    <w:p w:rsidR="00685741" w:rsidRPr="00313B5A" w:rsidRDefault="00685741" w:rsidP="00685741">
      <w:pPr>
        <w:pStyle w:val="PlainText"/>
        <w:rPr>
          <w:rFonts w:ascii="Arial" w:hAnsi="Arial" w:cs="Arial"/>
          <w:b/>
        </w:rPr>
      </w:pPr>
      <w:r w:rsidRPr="00313B5A">
        <w:rPr>
          <w:rFonts w:ascii="Arial" w:hAnsi="Arial" w:cs="Arial"/>
          <w:b/>
        </w:rPr>
        <w:t>University Policies</w:t>
      </w:r>
    </w:p>
    <w:p w:rsidR="00685741" w:rsidRPr="00313B5A" w:rsidRDefault="00685741" w:rsidP="00685741">
      <w:pPr>
        <w:pStyle w:val="PlainText"/>
        <w:rPr>
          <w:rFonts w:ascii="Arial" w:hAnsi="Arial" w:cs="Arial"/>
          <w:color w:val="000000"/>
        </w:rPr>
      </w:pPr>
      <w:r w:rsidRPr="00313B5A">
        <w:rPr>
          <w:rFonts w:ascii="Arial" w:hAnsi="Arial" w:cs="Arial"/>
          <w:color w:val="000000"/>
        </w:rPr>
        <w:t xml:space="preserve">See </w:t>
      </w:r>
      <w:hyperlink r:id="rId14" w:history="1">
        <w:r w:rsidRPr="00313B5A">
          <w:rPr>
            <w:rStyle w:val="Hyperlink"/>
            <w:rFonts w:ascii="Arial" w:hAnsi="Arial" w:cs="Arial"/>
          </w:rPr>
          <w:t>http://onestop.umn.edu/onestop/faculty/Teaching/Policies.html</w:t>
        </w:r>
      </w:hyperlink>
      <w:r w:rsidRPr="00313B5A">
        <w:rPr>
          <w:rFonts w:ascii="Arial" w:hAnsi="Arial" w:cs="Arial"/>
          <w:color w:val="000000"/>
        </w:rPr>
        <w:t xml:space="preserve"> for a list of policies related to teaching with links to those policies. </w:t>
      </w:r>
    </w:p>
    <w:p w:rsidR="00685741" w:rsidRPr="00313B5A" w:rsidRDefault="00685741" w:rsidP="00685741">
      <w:pPr>
        <w:pStyle w:val="PlainText"/>
        <w:rPr>
          <w:rFonts w:ascii="Arial" w:hAnsi="Arial" w:cs="Arial"/>
        </w:rPr>
      </w:pPr>
      <w:proofErr w:type="gramStart"/>
      <w:r w:rsidRPr="00313B5A">
        <w:rPr>
          <w:rFonts w:ascii="Arial" w:hAnsi="Arial" w:cs="Arial"/>
          <w:color w:val="000000"/>
        </w:rPr>
        <w:t>Also</w:t>
      </w:r>
      <w:proofErr w:type="gramEnd"/>
      <w:r w:rsidRPr="00313B5A">
        <w:rPr>
          <w:rFonts w:ascii="Arial" w:hAnsi="Arial" w:cs="Arial"/>
          <w:color w:val="000000"/>
        </w:rPr>
        <w:t xml:space="preserve"> see </w:t>
      </w:r>
      <w:hyperlink r:id="rId15" w:history="1">
        <w:r w:rsidRPr="00313B5A">
          <w:rPr>
            <w:rStyle w:val="Hyperlink"/>
            <w:rFonts w:ascii="Arial" w:hAnsi="Arial" w:cs="Arial"/>
          </w:rPr>
          <w:t>http://policy.umn.edu/Policies/Education/Education/STUDENTRESP.html</w:t>
        </w:r>
      </w:hyperlink>
      <w:r w:rsidRPr="00313B5A">
        <w:rPr>
          <w:rFonts w:ascii="Arial" w:hAnsi="Arial" w:cs="Arial"/>
          <w:color w:val="000000"/>
        </w:rPr>
        <w:t xml:space="preserve"> for University policies related to Teaching and Learning – Student Responsibilities.</w:t>
      </w:r>
    </w:p>
    <w:p w:rsidR="00685741" w:rsidRPr="00313B5A" w:rsidRDefault="00685741" w:rsidP="00685741">
      <w:pPr>
        <w:pStyle w:val="PlainText"/>
        <w:rPr>
          <w:rFonts w:ascii="Arial" w:hAnsi="Arial" w:cs="Arial"/>
          <w:color w:val="000000"/>
        </w:rPr>
      </w:pPr>
    </w:p>
    <w:p w:rsidR="00685741" w:rsidRPr="00313B5A" w:rsidRDefault="00685741" w:rsidP="00685741">
      <w:pPr>
        <w:pStyle w:val="NormalWeb"/>
        <w:spacing w:before="0" w:beforeAutospacing="0" w:after="0" w:afterAutospacing="0"/>
        <w:rPr>
          <w:rFonts w:ascii="Arial" w:hAnsi="Arial" w:cs="Arial"/>
          <w:b/>
          <w:sz w:val="20"/>
          <w:szCs w:val="20"/>
        </w:rPr>
      </w:pPr>
      <w:r w:rsidRPr="00313B5A">
        <w:rPr>
          <w:rFonts w:ascii="Arial" w:hAnsi="Arial" w:cs="Arial"/>
          <w:b/>
          <w:sz w:val="20"/>
          <w:szCs w:val="20"/>
        </w:rPr>
        <w:t>Student Conduct Code</w:t>
      </w:r>
    </w:p>
    <w:p w:rsidR="00685741" w:rsidRPr="00313B5A" w:rsidRDefault="00685741" w:rsidP="00685741">
      <w:pPr>
        <w:shd w:val="clear" w:color="auto" w:fill="FFFFFF"/>
        <w:rPr>
          <w:rFonts w:ascii="Arial" w:hAnsi="Arial" w:cs="Arial"/>
          <w:sz w:val="20"/>
        </w:rPr>
      </w:pPr>
      <w:r w:rsidRPr="00313B5A">
        <w:rPr>
          <w:rFonts w:ascii="Arial" w:hAnsi="Arial" w:cs="Arial"/>
          <w:sz w:val="20"/>
        </w:rPr>
        <w:t>The University seeks an environment that promotes academic achievement and integrity, that is protective of free inquiry, and that serves the educational mission of the University. Similarly,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As a student at the </w:t>
      </w:r>
      <w:proofErr w:type="gramStart"/>
      <w:r w:rsidRPr="00313B5A">
        <w:rPr>
          <w:rFonts w:ascii="Arial" w:hAnsi="Arial" w:cs="Arial"/>
          <w:sz w:val="20"/>
        </w:rPr>
        <w:t>University</w:t>
      </w:r>
      <w:proofErr w:type="gramEnd"/>
      <w:r w:rsidRPr="00313B5A">
        <w:rPr>
          <w:rFonts w:ascii="Arial" w:hAnsi="Arial" w:cs="Arial"/>
          <w:sz w:val="20"/>
        </w:rPr>
        <w:t xml:space="preserve"> you are expected adhere to Board of Regents Policy: Student Conduct Code. To review the Student Conduct Code, please see:</w:t>
      </w:r>
      <w:r w:rsidRPr="00313B5A">
        <w:rPr>
          <w:rFonts w:ascii="Arial" w:hAnsi="Arial" w:cs="Arial"/>
          <w:color w:val="4C4C4C"/>
          <w:sz w:val="20"/>
        </w:rPr>
        <w:t xml:space="preserve"> </w:t>
      </w:r>
      <w:r w:rsidRPr="00313B5A">
        <w:rPr>
          <w:rStyle w:val="Hyperlink"/>
          <w:rFonts w:ascii="Arial" w:hAnsi="Arial" w:cs="Arial"/>
          <w:sz w:val="20"/>
        </w:rPr>
        <w:t>http://regents.umn.edu/sites/default/files/policies/Student_Conduct_Code.pdf</w:t>
      </w:r>
      <w:r w:rsidRPr="00313B5A">
        <w:rPr>
          <w:rFonts w:ascii="Arial" w:hAnsi="Arial" w:cs="Arial"/>
          <w:color w:val="4C4C4C"/>
          <w:sz w:val="20"/>
        </w:rPr>
        <w:t>.</w:t>
      </w:r>
    </w:p>
    <w:p w:rsidR="00685741" w:rsidRPr="00313B5A" w:rsidRDefault="00685741" w:rsidP="00685741">
      <w:pPr>
        <w:shd w:val="clear" w:color="auto" w:fill="FFFFFF"/>
        <w:rPr>
          <w:rFonts w:ascii="Arial" w:hAnsi="Arial" w:cs="Arial"/>
          <w:sz w:val="20"/>
        </w:rPr>
      </w:pPr>
      <w:r w:rsidRPr="00313B5A">
        <w:rPr>
          <w:rFonts w:ascii="Arial" w:hAnsi="Arial" w:cs="Arial"/>
          <w:sz w:val="20"/>
        </w:rPr>
        <w:t xml:space="preserve">Note that the conduct code specifically addresses disruptive classroom conduct, which </w:t>
      </w:r>
      <w:proofErr w:type="gramStart"/>
      <w:r w:rsidRPr="00313B5A">
        <w:rPr>
          <w:rFonts w:ascii="Arial" w:hAnsi="Arial" w:cs="Arial"/>
          <w:sz w:val="20"/>
        </w:rPr>
        <w:t>means</w:t>
      </w:r>
      <w:proofErr w:type="gramEnd"/>
      <w:r w:rsidRPr="00313B5A">
        <w:rPr>
          <w:rFonts w:ascii="Arial" w:hAnsi="Arial" w:cs="Arial"/>
          <w:sz w:val="20"/>
        </w:rPr>
        <w:t xml:space="preserve">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w:t>
      </w:r>
    </w:p>
    <w:p w:rsidR="00685741" w:rsidRPr="00313B5A" w:rsidRDefault="00685741" w:rsidP="00685741">
      <w:pPr>
        <w:pStyle w:val="PlainText"/>
        <w:rPr>
          <w:rFonts w:ascii="Arial" w:hAnsi="Arial" w:cs="Arial"/>
        </w:rPr>
      </w:pPr>
    </w:p>
    <w:p w:rsidR="00685741" w:rsidRPr="00313B5A" w:rsidRDefault="00685741" w:rsidP="00685741">
      <w:pPr>
        <w:pStyle w:val="PlainText"/>
        <w:rPr>
          <w:rFonts w:ascii="Arial" w:hAnsi="Arial" w:cs="Arial"/>
          <w:b/>
        </w:rPr>
      </w:pPr>
      <w:r w:rsidRPr="00313B5A">
        <w:rPr>
          <w:rFonts w:ascii="Arial" w:hAnsi="Arial" w:cs="Arial"/>
          <w:b/>
        </w:rPr>
        <w:t>Use of Personal Electronic Devices in the Classroom</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Using personal electronic devices in the classroom setting can hinder instruction and learning, not only for the student using the device but also for other students in the class. To this end, the University establishes the right of each faculty member to determine if and how personal electronic devices </w:t>
      </w:r>
      <w:proofErr w:type="gramStart"/>
      <w:r w:rsidRPr="00313B5A">
        <w:rPr>
          <w:rFonts w:ascii="Arial" w:hAnsi="Arial" w:cs="Arial"/>
          <w:sz w:val="20"/>
        </w:rPr>
        <w:t>are allowed to be used</w:t>
      </w:r>
      <w:proofErr w:type="gramEnd"/>
      <w:r w:rsidRPr="00313B5A">
        <w:rPr>
          <w:rFonts w:ascii="Arial" w:hAnsi="Arial" w:cs="Arial"/>
          <w:sz w:val="20"/>
        </w:rPr>
        <w:t xml:space="preserve"> in the classroom. </w:t>
      </w:r>
      <w:hyperlink r:id="rId16" w:history="1">
        <w:r w:rsidRPr="00313B5A">
          <w:rPr>
            <w:rStyle w:val="Hyperlink"/>
            <w:rFonts w:ascii="Arial" w:hAnsi="Arial" w:cs="Arial"/>
            <w:sz w:val="20"/>
          </w:rPr>
          <w:t>http://policy.umn.edu/Policies/Education/Education/STUDENTRESP.html</w:t>
        </w:r>
      </w:hyperlink>
      <w:r w:rsidRPr="00313B5A">
        <w:rPr>
          <w:rFonts w:ascii="Arial" w:hAnsi="Arial" w:cs="Arial"/>
          <w:color w:val="4C4C4C"/>
          <w:sz w:val="20"/>
        </w:rPr>
        <w:t>.</w:t>
      </w:r>
    </w:p>
    <w:p w:rsidR="00685741" w:rsidRDefault="00685741" w:rsidP="00685741">
      <w:pPr>
        <w:rPr>
          <w:rFonts w:ascii="Arial" w:hAnsi="Arial" w:cs="Arial"/>
          <w:b/>
          <w:sz w:val="20"/>
        </w:rPr>
      </w:pPr>
      <w:r>
        <w:rPr>
          <w:rFonts w:ascii="Arial" w:hAnsi="Arial" w:cs="Arial"/>
          <w:b/>
        </w:rPr>
        <w:br w:type="page"/>
      </w:r>
    </w:p>
    <w:p w:rsidR="00685741" w:rsidRPr="00313B5A" w:rsidRDefault="00685741" w:rsidP="00685741">
      <w:pPr>
        <w:pStyle w:val="PlainText"/>
        <w:rPr>
          <w:rFonts w:ascii="Arial" w:hAnsi="Arial" w:cs="Arial"/>
          <w:b/>
        </w:rPr>
      </w:pPr>
      <w:r w:rsidRPr="00313B5A">
        <w:rPr>
          <w:rFonts w:ascii="Arial" w:hAnsi="Arial" w:cs="Arial"/>
          <w:b/>
        </w:rPr>
        <w:lastRenderedPageBreak/>
        <w:t>Appropriate Student Use of Class Notes and Course Materials</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Taking notes is a means of recording information but more importantly of personally absorbing and integrating the educational experience. However, broadly disseminating class notes beyond the classroom community or accepting compensation for taking and distributing classroom notes undermines instructor interests in their intellectual work product while not substantially furthering instructor and student interests in effective learning. Such actions violate shared norms and standards of the academic community. </w:t>
      </w:r>
      <w:hyperlink r:id="rId17" w:history="1">
        <w:r w:rsidRPr="00313B5A">
          <w:rPr>
            <w:rStyle w:val="Hyperlink"/>
            <w:rFonts w:ascii="Arial" w:hAnsi="Arial" w:cs="Arial"/>
            <w:sz w:val="20"/>
          </w:rPr>
          <w:t>http://policy.umn.edu/Policies/Education/Education/STUDENTRESP.html</w:t>
        </w:r>
      </w:hyperlink>
    </w:p>
    <w:p w:rsidR="00685741" w:rsidRPr="00313B5A" w:rsidRDefault="00685741" w:rsidP="00685741">
      <w:pPr>
        <w:shd w:val="clear" w:color="auto" w:fill="FFFFFF"/>
        <w:rPr>
          <w:rFonts w:ascii="Arial" w:hAnsi="Arial" w:cs="Arial"/>
          <w:b/>
          <w:sz w:val="20"/>
        </w:rPr>
      </w:pPr>
    </w:p>
    <w:p w:rsidR="00685741" w:rsidRPr="00313B5A" w:rsidRDefault="00685741" w:rsidP="00685741">
      <w:pPr>
        <w:pStyle w:val="PlainText"/>
        <w:rPr>
          <w:rFonts w:ascii="Arial" w:hAnsi="Arial" w:cs="Arial"/>
          <w:b/>
        </w:rPr>
      </w:pPr>
      <w:r w:rsidRPr="00313B5A">
        <w:rPr>
          <w:rFonts w:ascii="Arial" w:hAnsi="Arial" w:cs="Arial"/>
          <w:b/>
        </w:rPr>
        <w:t>Sexual Harassment</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"Sexual harassment" means unwelcome sexual advances, requests for sexual favors, and/or other verbal or physical conduct of a sexual nature. Such conduct has the purpose or effect of unreasonably interfering with an individual's work or academic performance or creating an intimidating, hostile, or offensive working or academic environment in any University activity or program. Such behavior is not acceptable in the University setting. For additional information,</w:t>
      </w:r>
      <w:r w:rsidRPr="00313B5A">
        <w:rPr>
          <w:rFonts w:ascii="Arial" w:hAnsi="Arial" w:cs="Arial"/>
          <w:color w:val="4C4C4C"/>
          <w:sz w:val="20"/>
        </w:rPr>
        <w:t xml:space="preserve"> </w:t>
      </w:r>
      <w:r w:rsidRPr="00313B5A">
        <w:rPr>
          <w:rFonts w:ascii="Arial" w:hAnsi="Arial" w:cs="Arial"/>
          <w:sz w:val="20"/>
        </w:rPr>
        <w:t xml:space="preserve">please consult Board of Regents Policy: </w:t>
      </w:r>
      <w:hyperlink r:id="rId18" w:history="1">
        <w:r w:rsidRPr="00313B5A">
          <w:rPr>
            <w:rStyle w:val="Hyperlink"/>
            <w:rFonts w:ascii="Arial" w:hAnsi="Arial" w:cs="Arial"/>
            <w:sz w:val="20"/>
          </w:rPr>
          <w:t>http://regents.umn.edu/sites/regents.umn.edu/files/policies/SexHarassment.pdf</w:t>
        </w:r>
      </w:hyperlink>
    </w:p>
    <w:p w:rsidR="00685741" w:rsidRPr="00313B5A" w:rsidRDefault="00685741" w:rsidP="00685741">
      <w:pPr>
        <w:pStyle w:val="PlainText"/>
        <w:rPr>
          <w:rFonts w:ascii="Arial" w:hAnsi="Arial" w:cs="Arial"/>
          <w:b/>
        </w:rPr>
      </w:pPr>
    </w:p>
    <w:p w:rsidR="00685741" w:rsidRPr="00313B5A" w:rsidRDefault="00685741" w:rsidP="00685741">
      <w:pPr>
        <w:pStyle w:val="PlainText"/>
        <w:rPr>
          <w:rFonts w:ascii="Arial" w:hAnsi="Arial" w:cs="Arial"/>
          <w:b/>
        </w:rPr>
      </w:pPr>
      <w:r w:rsidRPr="00313B5A">
        <w:rPr>
          <w:rFonts w:ascii="Arial" w:hAnsi="Arial" w:cs="Arial"/>
          <w:b/>
        </w:rPr>
        <w:t>Equity, Diversity, Equal Opportunity, and Affirmative Action</w:t>
      </w:r>
    </w:p>
    <w:p w:rsidR="00685741" w:rsidRPr="00313B5A" w:rsidRDefault="00685741" w:rsidP="00685741">
      <w:pPr>
        <w:shd w:val="clear" w:color="auto" w:fill="FFFFFF"/>
        <w:rPr>
          <w:rFonts w:ascii="Arial" w:hAnsi="Arial" w:cs="Arial"/>
          <w:color w:val="4C4C4C"/>
          <w:sz w:val="20"/>
        </w:rPr>
      </w:pPr>
      <w:r w:rsidRPr="00313B5A">
        <w:rPr>
          <w:rFonts w:ascii="Arial" w:hAnsi="Arial" w:cs="Arial"/>
          <w:sz w:val="20"/>
        </w:rPr>
        <w:t xml:space="preserve">The University provides equal access to and opportunity in its programs and facilities, without regard to race, color, creed, religion, national origin, gender, age, marital status, disability, public assistance status, veteran status, sexual orientation, gender identity, or gender expression. For more information, please consult Board of Regents Policy: </w:t>
      </w:r>
      <w:hyperlink r:id="rId19" w:history="1">
        <w:r w:rsidRPr="00313B5A">
          <w:rPr>
            <w:rStyle w:val="Hyperlink"/>
            <w:rFonts w:ascii="Arial" w:hAnsi="Arial" w:cs="Arial"/>
            <w:sz w:val="20"/>
          </w:rPr>
          <w:t>http://regents.umn.edu/sites/regents.umn.edu/files/policies/Equity_Diversity_EO_AA.pdf</w:t>
        </w:r>
      </w:hyperlink>
    </w:p>
    <w:p w:rsidR="00685741" w:rsidRPr="00313B5A" w:rsidRDefault="00685741" w:rsidP="00685741">
      <w:pPr>
        <w:shd w:val="clear" w:color="auto" w:fill="FFFFFF"/>
        <w:outlineLvl w:val="3"/>
        <w:rPr>
          <w:rFonts w:ascii="Arial" w:hAnsi="Arial" w:cs="Arial"/>
          <w:b/>
          <w:bCs/>
          <w:color w:val="C15420"/>
          <w:sz w:val="20"/>
        </w:rPr>
      </w:pPr>
    </w:p>
    <w:p w:rsidR="00685741" w:rsidRPr="00313B5A" w:rsidRDefault="00685741" w:rsidP="00685741">
      <w:pPr>
        <w:pStyle w:val="PlainText"/>
        <w:rPr>
          <w:rFonts w:ascii="Arial" w:hAnsi="Arial" w:cs="Arial"/>
          <w:b/>
        </w:rPr>
      </w:pPr>
      <w:r w:rsidRPr="00313B5A">
        <w:rPr>
          <w:rFonts w:ascii="Arial" w:hAnsi="Arial" w:cs="Arial"/>
          <w:b/>
        </w:rPr>
        <w:t>Disability Accommodations</w:t>
      </w:r>
    </w:p>
    <w:p w:rsidR="00685741" w:rsidRPr="00313B5A" w:rsidRDefault="00685741" w:rsidP="00685741">
      <w:pPr>
        <w:pStyle w:val="NormalWeb"/>
        <w:shd w:val="clear" w:color="auto" w:fill="FFFFFF"/>
        <w:spacing w:before="0" w:beforeAutospacing="0" w:after="0" w:afterAutospacing="0"/>
        <w:rPr>
          <w:rFonts w:ascii="Arial" w:hAnsi="Arial" w:cs="Arial"/>
          <w:color w:val="4C4C4C"/>
          <w:sz w:val="20"/>
          <w:szCs w:val="20"/>
        </w:rPr>
      </w:pPr>
      <w:r w:rsidRPr="00313B5A">
        <w:rPr>
          <w:rFonts w:ascii="Arial" w:hAnsi="Arial" w:cs="Arial"/>
          <w:sz w:val="20"/>
          <w:szCs w:val="20"/>
        </w:rPr>
        <w:t xml:space="preserve">The University of Minnesota is committed to providing equitable access to learning opportunities for all students. The Disability Resource Center is the campus office that collaborates with students who have disabilities to provide and/or arrange reasonable accommodations.  If you have, or think you may have, a disability (e.g., mental health, attentional, learning, chronic health, sensory, or physical), please contact Disability Resource Center at 612-626-1333 to arrange a confidential discussion regarding equitable access and reasonable accommodations. If you </w:t>
      </w:r>
      <w:proofErr w:type="gramStart"/>
      <w:r w:rsidRPr="00313B5A">
        <w:rPr>
          <w:rFonts w:ascii="Arial" w:hAnsi="Arial" w:cs="Arial"/>
          <w:sz w:val="20"/>
          <w:szCs w:val="20"/>
        </w:rPr>
        <w:t>are registered</w:t>
      </w:r>
      <w:proofErr w:type="gramEnd"/>
      <w:r w:rsidRPr="00313B5A">
        <w:rPr>
          <w:rFonts w:ascii="Arial" w:hAnsi="Arial" w:cs="Arial"/>
          <w:sz w:val="20"/>
          <w:szCs w:val="20"/>
        </w:rPr>
        <w:t xml:space="preserve"> with Disability Resource Center and have a current letter requesting reasonable accommodations, please contact your instructor as early in the semester as possible to discuss how the accommodations will be applied in the course. </w:t>
      </w:r>
      <w:hyperlink r:id="rId20" w:history="1">
        <w:r w:rsidRPr="00313B5A">
          <w:rPr>
            <w:rStyle w:val="Hyperlink"/>
            <w:rFonts w:ascii="Arial" w:hAnsi="Arial" w:cs="Arial"/>
            <w:sz w:val="20"/>
            <w:szCs w:val="20"/>
          </w:rPr>
          <w:t>https://diversity.umn.edu/disability/</w:t>
        </w:r>
      </w:hyperlink>
      <w:r w:rsidRPr="00313B5A">
        <w:rPr>
          <w:rFonts w:ascii="Arial" w:hAnsi="Arial" w:cs="Arial"/>
          <w:color w:val="4C4C4C"/>
          <w:sz w:val="20"/>
          <w:szCs w:val="20"/>
        </w:rPr>
        <w:t>.</w:t>
      </w:r>
    </w:p>
    <w:p w:rsidR="00685741" w:rsidRPr="00313B5A" w:rsidRDefault="00685741" w:rsidP="00685741">
      <w:pPr>
        <w:pStyle w:val="PlainText"/>
        <w:rPr>
          <w:rFonts w:ascii="Arial" w:hAnsi="Arial" w:cs="Arial"/>
          <w:b/>
        </w:rPr>
      </w:pPr>
    </w:p>
    <w:p w:rsidR="00685741" w:rsidRPr="00313B5A" w:rsidRDefault="00685741" w:rsidP="00685741">
      <w:pPr>
        <w:pStyle w:val="PlainText"/>
        <w:rPr>
          <w:rFonts w:ascii="Arial" w:hAnsi="Arial" w:cs="Arial"/>
          <w:b/>
        </w:rPr>
      </w:pPr>
      <w:r w:rsidRPr="00313B5A">
        <w:rPr>
          <w:rFonts w:ascii="Arial" w:hAnsi="Arial" w:cs="Arial"/>
          <w:b/>
        </w:rPr>
        <w:t>Mental Health and Stress Management:</w:t>
      </w:r>
    </w:p>
    <w:p w:rsidR="00685741" w:rsidRPr="00313B5A" w:rsidRDefault="00685741" w:rsidP="00685741">
      <w:pPr>
        <w:pStyle w:val="NormalWeb"/>
        <w:shd w:val="clear" w:color="auto" w:fill="FFFFFF"/>
        <w:spacing w:before="0" w:beforeAutospacing="0" w:after="0" w:afterAutospacing="0"/>
        <w:rPr>
          <w:rFonts w:ascii="Arial" w:hAnsi="Arial" w:cs="Arial"/>
          <w:color w:val="4C4C4C"/>
          <w:sz w:val="20"/>
          <w:szCs w:val="20"/>
        </w:rPr>
      </w:pPr>
      <w:r w:rsidRPr="00313B5A">
        <w:rPr>
          <w:rFonts w:ascii="Arial" w:hAnsi="Arial" w:cs="Arial"/>
          <w:sz w:val="20"/>
          <w:szCs w:val="20"/>
        </w:rPr>
        <w:t xml:space="preserve">As a </w:t>
      </w:r>
      <w:proofErr w:type="gramStart"/>
      <w:r w:rsidRPr="00313B5A">
        <w:rPr>
          <w:rFonts w:ascii="Arial" w:hAnsi="Arial" w:cs="Arial"/>
          <w:sz w:val="20"/>
          <w:szCs w:val="20"/>
        </w:rPr>
        <w:t>student</w:t>
      </w:r>
      <w:proofErr w:type="gramEnd"/>
      <w:r w:rsidRPr="00313B5A">
        <w:rPr>
          <w:rFonts w:ascii="Arial" w:hAnsi="Arial" w:cs="Arial"/>
          <w:sz w:val="20"/>
          <w:szCs w:val="20"/>
        </w:rPr>
        <w:t xml:space="preserve">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and may reduce your ability to participate in daily activities. University of Minnesota services are available to assist you. You can learn more via the Student Mental Health Website: </w:t>
      </w:r>
      <w:hyperlink r:id="rId21" w:history="1">
        <w:r w:rsidRPr="00313B5A">
          <w:rPr>
            <w:rStyle w:val="Hyperlink"/>
            <w:rFonts w:ascii="Arial" w:hAnsi="Arial" w:cs="Arial"/>
            <w:sz w:val="20"/>
            <w:szCs w:val="20"/>
          </w:rPr>
          <w:t>http://www.mentalhealth.umn.edu</w:t>
        </w:r>
      </w:hyperlink>
      <w:r w:rsidRPr="00313B5A">
        <w:rPr>
          <w:rFonts w:ascii="Arial" w:hAnsi="Arial" w:cs="Arial"/>
          <w:color w:val="4C4C4C"/>
          <w:sz w:val="20"/>
          <w:szCs w:val="20"/>
        </w:rPr>
        <w:t>.</w:t>
      </w:r>
    </w:p>
    <w:p w:rsidR="00685741" w:rsidRPr="00313B5A" w:rsidRDefault="00685741" w:rsidP="00685741">
      <w:pPr>
        <w:pStyle w:val="PlainText"/>
        <w:rPr>
          <w:rFonts w:ascii="Arial" w:hAnsi="Arial" w:cs="Arial"/>
          <w:b/>
        </w:rPr>
      </w:pPr>
    </w:p>
    <w:p w:rsidR="00685741" w:rsidRPr="00313B5A" w:rsidRDefault="00685741" w:rsidP="00685741">
      <w:pPr>
        <w:pStyle w:val="PlainText"/>
        <w:rPr>
          <w:rFonts w:ascii="Arial" w:hAnsi="Arial" w:cs="Arial"/>
          <w:b/>
        </w:rPr>
      </w:pPr>
      <w:r w:rsidRPr="00313B5A">
        <w:rPr>
          <w:rFonts w:ascii="Arial" w:hAnsi="Arial" w:cs="Arial"/>
          <w:b/>
        </w:rPr>
        <w:t>Academic Freedom and Responsibility:</w:t>
      </w:r>
    </w:p>
    <w:p w:rsidR="00685741" w:rsidRPr="00313B5A" w:rsidRDefault="00685741" w:rsidP="00685741">
      <w:pPr>
        <w:shd w:val="clear" w:color="auto" w:fill="FFFFFF"/>
        <w:ind w:right="-360"/>
        <w:rPr>
          <w:rFonts w:ascii="Arial" w:hAnsi="Arial" w:cs="Arial"/>
          <w:sz w:val="20"/>
        </w:rPr>
      </w:pPr>
      <w:r w:rsidRPr="00313B5A">
        <w:rPr>
          <w:rFonts w:ascii="Arial" w:hAnsi="Arial" w:cs="Arial"/>
          <w:sz w:val="20"/>
        </w:rPr>
        <w:t>Academic freedom is a cornerstone of the University. Within the scope and content of the course as defined by the instructor, it includes the freedom to discuss relevant matters in the classroom and conduct relevant research.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are enrolled.* When conducting research, pertinent institutional approvals must be obtained and the research must be consistent with U. policies.</w:t>
      </w:r>
    </w:p>
    <w:p w:rsidR="00685741" w:rsidRPr="00313B5A" w:rsidRDefault="00685741" w:rsidP="00685741">
      <w:pPr>
        <w:shd w:val="clear" w:color="auto" w:fill="FFFFFF"/>
        <w:rPr>
          <w:rFonts w:ascii="Arial" w:hAnsi="Arial" w:cs="Arial"/>
          <w:sz w:val="20"/>
        </w:rPr>
      </w:pPr>
    </w:p>
    <w:p w:rsidR="00685741" w:rsidRPr="00313B5A" w:rsidRDefault="00685741" w:rsidP="00685741">
      <w:pPr>
        <w:shd w:val="clear" w:color="auto" w:fill="FFFFFF"/>
        <w:rPr>
          <w:rFonts w:ascii="Arial" w:hAnsi="Arial" w:cs="Arial"/>
          <w:sz w:val="20"/>
        </w:rPr>
      </w:pPr>
      <w:r w:rsidRPr="00313B5A">
        <w:rPr>
          <w:rFonts w:ascii="Arial" w:hAnsi="Arial" w:cs="Arial"/>
          <w:sz w:val="20"/>
        </w:rPr>
        <w:t xml:space="preserve">Reports of concerns about academic freedom </w:t>
      </w:r>
      <w:proofErr w:type="gramStart"/>
      <w:r w:rsidRPr="00313B5A">
        <w:rPr>
          <w:rFonts w:ascii="Arial" w:hAnsi="Arial" w:cs="Arial"/>
          <w:sz w:val="20"/>
        </w:rPr>
        <w:t>are taken</w:t>
      </w:r>
      <w:proofErr w:type="gramEnd"/>
      <w:r w:rsidRPr="00313B5A">
        <w:rPr>
          <w:rFonts w:ascii="Arial" w:hAnsi="Arial" w:cs="Arial"/>
          <w:sz w:val="20"/>
        </w:rPr>
        <w:t xml:space="preserve"> seriously. There are individuals/offices available for help. Contact the instructor, the Department Chair, your adviser, the associate dean of CEHD, or the Vice Provost for Faculty and Academic Affairs in the Office of the Provost.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685741" w:rsidTr="005D2F14">
        <w:tc>
          <w:tcPr>
            <w:tcW w:w="5000" w:type="pct"/>
          </w:tcPr>
          <w:p w:rsidR="00685741" w:rsidRPr="00A8285B" w:rsidRDefault="00685741" w:rsidP="005D2F14">
            <w:pPr>
              <w:pStyle w:val="Heading3"/>
              <w:rPr>
                <w:bCs w:val="0"/>
                <w:sz w:val="28"/>
                <w:szCs w:val="28"/>
              </w:rPr>
            </w:pPr>
            <w:r w:rsidRPr="00BD3B9D">
              <w:rPr>
                <w:rFonts w:cs="Arial"/>
              </w:rPr>
              <w:lastRenderedPageBreak/>
              <w:br w:type="page"/>
            </w:r>
            <w:r w:rsidRPr="00A8285B">
              <w:rPr>
                <w:bCs w:val="0"/>
                <w:sz w:val="28"/>
                <w:szCs w:val="28"/>
              </w:rPr>
              <w:t>College of Education &amp; Human Development Mission Statement</w:t>
            </w:r>
          </w:p>
          <w:p w:rsidR="00685741" w:rsidRDefault="00685741" w:rsidP="005D2F14">
            <w:pPr>
              <w:rPr>
                <w:sz w:val="22"/>
              </w:rPr>
            </w:pPr>
          </w:p>
          <w:p w:rsidR="00685741" w:rsidRDefault="00685741" w:rsidP="005D2F14">
            <w:pPr>
              <w:pStyle w:val="PlainText"/>
              <w:rPr>
                <w:rFonts w:ascii="Times New Roman" w:hAnsi="Times New Roman" w:cs="Times New Roman"/>
                <w:sz w:val="24"/>
                <w:szCs w:val="24"/>
              </w:rPr>
            </w:pPr>
            <w:r w:rsidRPr="004B08EB">
              <w:rPr>
                <w:rFonts w:ascii="Times New Roman" w:hAnsi="Times New Roman" w:cs="Times New Roman"/>
                <w:sz w:val="24"/>
                <w:szCs w:val="24"/>
              </w:rPr>
              <w:t>The mission of the University of Minnesota College of Education and Human Development is to contribute to a just and sustainable future through engagement with the local and global communities to enhance human learning and development a</w:t>
            </w:r>
            <w:r>
              <w:rPr>
                <w:rFonts w:ascii="Times New Roman" w:hAnsi="Times New Roman" w:cs="Times New Roman"/>
                <w:sz w:val="24"/>
                <w:szCs w:val="24"/>
              </w:rPr>
              <w:t>t all stages of the life span.</w:t>
            </w:r>
          </w:p>
          <w:p w:rsidR="00685741" w:rsidRDefault="00685741" w:rsidP="005D2F14"/>
          <w:p w:rsidR="00685741" w:rsidRPr="00A8285B" w:rsidRDefault="00685741" w:rsidP="005D2F14">
            <w:pPr>
              <w:pStyle w:val="Heading3"/>
              <w:rPr>
                <w:bCs w:val="0"/>
                <w:sz w:val="28"/>
                <w:szCs w:val="28"/>
              </w:rPr>
            </w:pPr>
            <w:r w:rsidRPr="00A8285B">
              <w:rPr>
                <w:bCs w:val="0"/>
                <w:sz w:val="28"/>
                <w:szCs w:val="28"/>
              </w:rPr>
              <w:t>Department of Educational Psychology Mission Statement</w:t>
            </w:r>
          </w:p>
          <w:p w:rsidR="00685741" w:rsidRDefault="00685741" w:rsidP="005D2F14">
            <w:pPr>
              <w:rPr>
                <w:sz w:val="22"/>
              </w:rPr>
            </w:pPr>
          </w:p>
          <w:p w:rsidR="00685741" w:rsidRDefault="00685741" w:rsidP="005D2F14">
            <w:r w:rsidRPr="0060409A">
              <w:t>Educational psychology involves the study of cognitive, emotional, and social learning processes that underlie education and human development across the lifespan. Research in educational psychology advances scientific knowledge of those processes and their application in diverse educational and community settings. The department provides training in the psychological foundations of education, research methods, and the practice and science of counseling psychology, school psychology, and special education. Faculty and students provide leadership and consultation to the state, the nation, and the international community in each area of educational psychology. The department’s scholarship and teaching enhance professional practice in schools and universities, community mental health agencies, business and industrial organizations, early childhood programs, and government agencies.</w:t>
            </w:r>
          </w:p>
          <w:p w:rsidR="00685741" w:rsidRDefault="00685741" w:rsidP="005D2F14">
            <w:pPr>
              <w:rPr>
                <w:b/>
                <w:bCs/>
              </w:rPr>
            </w:pPr>
          </w:p>
          <w:p w:rsidR="00685741" w:rsidRPr="00A8285B" w:rsidRDefault="00685741" w:rsidP="005D2F14">
            <w:pPr>
              <w:pStyle w:val="Heading3"/>
              <w:rPr>
                <w:sz w:val="28"/>
                <w:szCs w:val="28"/>
              </w:rPr>
            </w:pPr>
            <w:r w:rsidRPr="00A8285B">
              <w:rPr>
                <w:sz w:val="28"/>
                <w:szCs w:val="28"/>
              </w:rPr>
              <w:t>Quantitative Methods in Education Mission Statement</w:t>
            </w:r>
          </w:p>
          <w:p w:rsidR="00685741" w:rsidRDefault="00685741" w:rsidP="005D2F14"/>
          <w:p w:rsidR="00685741" w:rsidRPr="00F97865" w:rsidRDefault="00685741" w:rsidP="005D2F14">
            <w:r w:rsidRPr="00F97865">
              <w:rPr>
                <w:rFonts w:eastAsia="Calibri" w:cs="Calibri"/>
                <w:bCs/>
              </w:rPr>
              <w:t>To prepare students to become cutting-edge professionals in educational measurement, evaluation, statistics, and statistics education, through excellence in teaching, research, and service</w:t>
            </w:r>
            <w:proofErr w:type="gramStart"/>
            <w:r w:rsidRPr="00F97865">
              <w:rPr>
                <w:rFonts w:eastAsia="Calibri" w:cs="Calibri"/>
                <w:bCs/>
              </w:rPr>
              <w:t>;</w:t>
            </w:r>
            <w:proofErr w:type="gramEnd"/>
            <w:r w:rsidRPr="00F97865">
              <w:rPr>
                <w:rFonts w:eastAsia="Calibri" w:cs="Calibri"/>
                <w:bCs/>
              </w:rPr>
              <w:t xml:space="preserve"> and through investigating and developing research methodology in education.</w:t>
            </w:r>
          </w:p>
          <w:p w:rsidR="00685741" w:rsidRDefault="00685741" w:rsidP="005D2F14"/>
        </w:tc>
      </w:tr>
    </w:tbl>
    <w:p w:rsidR="00685741" w:rsidRDefault="00685741" w:rsidP="00685741">
      <w:bookmarkStart w:id="1" w:name="evaluation"/>
      <w:bookmarkEnd w:id="1"/>
    </w:p>
    <w:p w:rsidR="00685741" w:rsidRPr="00F56ABD" w:rsidRDefault="00685741" w:rsidP="00685741">
      <w:pPr>
        <w:jc w:val="center"/>
        <w:rPr>
          <w:b/>
        </w:rPr>
      </w:pPr>
      <w:r w:rsidRPr="00F56ABD">
        <w:rPr>
          <w:b/>
        </w:rPr>
        <w:t>Six Intellectual Principles of Ph.D./</w:t>
      </w:r>
      <w:proofErr w:type="spellStart"/>
      <w:r w:rsidRPr="00F56ABD">
        <w:rPr>
          <w:b/>
        </w:rPr>
        <w:t>Ed.D</w:t>
      </w:r>
      <w:proofErr w:type="spellEnd"/>
      <w:r w:rsidRPr="00F56ABD">
        <w:rPr>
          <w:b/>
        </w:rPr>
        <w:t>./Master’s Research Education</w:t>
      </w:r>
    </w:p>
    <w:p w:rsidR="00685741" w:rsidRDefault="00685741" w:rsidP="00685741">
      <w:pPr>
        <w:jc w:val="center"/>
      </w:pPr>
      <w:r>
        <w:t>(Currently under review)</w:t>
      </w:r>
    </w:p>
    <w:p w:rsidR="00685741" w:rsidRPr="00C741C5" w:rsidRDefault="00685741" w:rsidP="00685741">
      <w:pPr>
        <w:jc w:val="center"/>
        <w:rPr>
          <w:b/>
        </w:rPr>
      </w:pPr>
    </w:p>
    <w:p w:rsidR="00685741" w:rsidRPr="002C4487" w:rsidRDefault="00685741" w:rsidP="00685741">
      <w:pPr>
        <w:numPr>
          <w:ilvl w:val="0"/>
          <w:numId w:val="10"/>
        </w:numPr>
        <w:spacing w:line="276" w:lineRule="auto"/>
        <w:ind w:left="360" w:right="-270" w:hanging="359"/>
        <w:rPr>
          <w:i/>
        </w:rPr>
      </w:pPr>
      <w:r w:rsidRPr="002C4487">
        <w:rPr>
          <w:i/>
        </w:rPr>
        <w:t>Scholarly Formation</w:t>
      </w:r>
    </w:p>
    <w:p w:rsidR="00685741" w:rsidRPr="002C4487" w:rsidRDefault="00685741" w:rsidP="00685741">
      <w:pPr>
        <w:numPr>
          <w:ilvl w:val="0"/>
          <w:numId w:val="10"/>
        </w:numPr>
        <w:spacing w:line="276" w:lineRule="auto"/>
        <w:ind w:left="360" w:right="-270" w:hanging="359"/>
        <w:rPr>
          <w:i/>
        </w:rPr>
      </w:pPr>
      <w:r w:rsidRPr="002C4487">
        <w:rPr>
          <w:i/>
        </w:rPr>
        <w:t>Communication</w:t>
      </w:r>
    </w:p>
    <w:p w:rsidR="00685741" w:rsidRPr="002C4487" w:rsidRDefault="00685741" w:rsidP="00685741">
      <w:pPr>
        <w:numPr>
          <w:ilvl w:val="0"/>
          <w:numId w:val="10"/>
        </w:numPr>
        <w:spacing w:line="276" w:lineRule="auto"/>
        <w:ind w:left="360" w:right="-270" w:hanging="359"/>
        <w:rPr>
          <w:i/>
        </w:rPr>
      </w:pPr>
      <w:r w:rsidRPr="002C4487">
        <w:rPr>
          <w:i/>
        </w:rPr>
        <w:t>Leadership and Collaborative Skills</w:t>
      </w:r>
    </w:p>
    <w:p w:rsidR="00685741" w:rsidRPr="002C4487" w:rsidRDefault="00685741" w:rsidP="00685741">
      <w:pPr>
        <w:pStyle w:val="ListParagraph"/>
        <w:numPr>
          <w:ilvl w:val="0"/>
          <w:numId w:val="10"/>
        </w:numPr>
        <w:spacing w:line="276" w:lineRule="auto"/>
        <w:ind w:left="360" w:right="-270" w:hanging="360"/>
        <w:rPr>
          <w:i/>
        </w:rPr>
      </w:pPr>
      <w:r w:rsidRPr="002C4487">
        <w:rPr>
          <w:i/>
        </w:rPr>
        <w:t>Global</w:t>
      </w:r>
      <w:r>
        <w:rPr>
          <w:i/>
        </w:rPr>
        <w:t xml:space="preserve"> Context</w:t>
      </w:r>
    </w:p>
    <w:p w:rsidR="00685741" w:rsidRPr="002C4487" w:rsidRDefault="00685741" w:rsidP="00685741">
      <w:pPr>
        <w:pStyle w:val="ListParagraph"/>
        <w:numPr>
          <w:ilvl w:val="0"/>
          <w:numId w:val="10"/>
        </w:numPr>
        <w:spacing w:line="276" w:lineRule="auto"/>
        <w:ind w:left="360" w:right="-270" w:hanging="360"/>
        <w:rPr>
          <w:i/>
        </w:rPr>
      </w:pPr>
      <w:r w:rsidRPr="002C4487">
        <w:rPr>
          <w:i/>
        </w:rPr>
        <w:t>Professional Responsibility</w:t>
      </w:r>
    </w:p>
    <w:p w:rsidR="00685741" w:rsidRPr="002C4487" w:rsidRDefault="00685741" w:rsidP="00685741">
      <w:pPr>
        <w:pStyle w:val="ListParagraph"/>
        <w:numPr>
          <w:ilvl w:val="0"/>
          <w:numId w:val="10"/>
        </w:numPr>
        <w:spacing w:line="276" w:lineRule="auto"/>
        <w:ind w:left="360" w:right="-270" w:hanging="360"/>
        <w:rPr>
          <w:i/>
        </w:rPr>
      </w:pPr>
      <w:r w:rsidRPr="002C4487">
        <w:rPr>
          <w:i/>
        </w:rPr>
        <w:t>Personal and Professional Management Skills</w:t>
      </w:r>
    </w:p>
    <w:p w:rsidR="00685741" w:rsidRDefault="00685741" w:rsidP="00685741">
      <w:pPr>
        <w:rPr>
          <w:bCs/>
          <w:i/>
        </w:rPr>
        <w:sectPr w:rsidR="00685741" w:rsidSect="00685741">
          <w:footerReference w:type="default" r:id="rId22"/>
          <w:type w:val="continuous"/>
          <w:pgSz w:w="12240" w:h="15840" w:code="1"/>
          <w:pgMar w:top="1440" w:right="1440" w:bottom="1440" w:left="1440" w:header="720" w:footer="720" w:gutter="0"/>
          <w:cols w:space="180"/>
          <w:docGrid w:linePitch="360"/>
        </w:sectPr>
      </w:pPr>
    </w:p>
    <w:p w:rsidR="00685741" w:rsidRDefault="00685741" w:rsidP="00685741">
      <w:pPr>
        <w:rPr>
          <w:bCs/>
          <w:i/>
        </w:rPr>
      </w:pPr>
    </w:p>
    <w:p w:rsidR="00685741" w:rsidRPr="00D4021A" w:rsidRDefault="00685741" w:rsidP="00685741">
      <w:pPr>
        <w:rPr>
          <w:b/>
          <w:bCs/>
          <w:i/>
        </w:rPr>
      </w:pPr>
      <w:r w:rsidRPr="00D4021A">
        <w:rPr>
          <w:b/>
          <w:bCs/>
          <w:i/>
        </w:rPr>
        <w:t>The College Commitment to Diversity and Inclusion:</w:t>
      </w:r>
    </w:p>
    <w:p w:rsidR="00685741" w:rsidRDefault="00685741" w:rsidP="00685741"/>
    <w:p w:rsidR="00685741" w:rsidRPr="00393B22" w:rsidRDefault="00685741" w:rsidP="00685741">
      <w:pPr>
        <w:rPr>
          <w:sz w:val="19"/>
          <w:szCs w:val="19"/>
        </w:rPr>
      </w:pPr>
      <w:r w:rsidRPr="00393B22">
        <w:rPr>
          <w:rFonts w:ascii="Arial" w:hAnsi="Arial" w:cs="Arial"/>
          <w:i/>
          <w:iCs/>
          <w:color w:val="000000"/>
          <w:sz w:val="20"/>
        </w:rPr>
        <w:t>We affirm the contributions of all people in our community. Diversity and equity are at the core of our mission in the College of Education and Human Development.</w:t>
      </w:r>
    </w:p>
    <w:p w:rsidR="00685741" w:rsidRPr="00393B22" w:rsidRDefault="00685741" w:rsidP="00685741">
      <w:pPr>
        <w:rPr>
          <w:sz w:val="19"/>
          <w:szCs w:val="19"/>
        </w:rPr>
      </w:pPr>
    </w:p>
    <w:p w:rsidR="00685741" w:rsidRPr="00393B22" w:rsidRDefault="00685741" w:rsidP="00685741">
      <w:pPr>
        <w:rPr>
          <w:sz w:val="19"/>
          <w:szCs w:val="19"/>
        </w:rPr>
      </w:pPr>
      <w:r w:rsidRPr="00393B22">
        <w:rPr>
          <w:rFonts w:ascii="Arial" w:hAnsi="Arial" w:cs="Arial"/>
          <w:i/>
          <w:iCs/>
          <w:color w:val="000000"/>
          <w:sz w:val="20"/>
        </w:rPr>
        <w:t xml:space="preserve">We explicitly reject bias, discrimination, and exclusion </w:t>
      </w:r>
      <w:proofErr w:type="gramStart"/>
      <w:r w:rsidRPr="00393B22">
        <w:rPr>
          <w:rFonts w:ascii="Arial" w:hAnsi="Arial" w:cs="Arial"/>
          <w:i/>
          <w:iCs/>
          <w:color w:val="000000"/>
          <w:sz w:val="20"/>
        </w:rPr>
        <w:t>on the basis of</w:t>
      </w:r>
      <w:proofErr w:type="gramEnd"/>
      <w:r w:rsidRPr="00393B22">
        <w:rPr>
          <w:rFonts w:ascii="Arial" w:hAnsi="Arial" w:cs="Arial"/>
          <w:i/>
          <w:iCs/>
          <w:color w:val="000000"/>
          <w:sz w:val="20"/>
        </w:rPr>
        <w:t xml:space="preserve"> race, color, creed, religion, national origin, gender, age, marital status, disability, public assistance status, veteran status, sexual orientation, gender identity, or gender expression.</w:t>
      </w:r>
    </w:p>
    <w:p w:rsidR="00685741" w:rsidRPr="00393B22" w:rsidRDefault="00685741" w:rsidP="00685741">
      <w:pPr>
        <w:rPr>
          <w:sz w:val="19"/>
          <w:szCs w:val="19"/>
        </w:rPr>
      </w:pPr>
    </w:p>
    <w:p w:rsidR="00685741" w:rsidRPr="002F2D35" w:rsidRDefault="00685741" w:rsidP="00685741">
      <w:r w:rsidRPr="00393B22">
        <w:rPr>
          <w:rFonts w:ascii="Arial" w:hAnsi="Arial" w:cs="Arial"/>
          <w:i/>
          <w:iCs/>
          <w:color w:val="000000"/>
          <w:sz w:val="20"/>
        </w:rPr>
        <w:t>We all are responsible for recognizing, confronting, and addressing bias and discrimination and diligently working for positive change in support of equity and diversity.</w:t>
      </w:r>
    </w:p>
    <w:sectPr w:rsidR="00685741" w:rsidRPr="002F2D35" w:rsidSect="00685741">
      <w:footerReference w:type="even"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0C" w:rsidRDefault="00A0550C">
      <w:r>
        <w:separator/>
      </w:r>
    </w:p>
  </w:endnote>
  <w:endnote w:type="continuationSeparator" w:id="0">
    <w:p w:rsidR="00A0550C" w:rsidRDefault="00A0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1" w:rsidRPr="00DF4CB0" w:rsidRDefault="00685741" w:rsidP="005D2F14">
    <w:pPr>
      <w:pStyle w:val="Footer"/>
      <w:pBdr>
        <w:top w:val="single" w:sz="4" w:space="1" w:color="D9D9D9"/>
      </w:pBdr>
      <w:jc w:val="right"/>
      <w:rPr>
        <w:sz w:val="20"/>
      </w:rPr>
    </w:pPr>
    <w:r w:rsidRPr="007C6734">
      <w:rPr>
        <w:sz w:val="20"/>
      </w:rPr>
      <w:fldChar w:fldCharType="begin"/>
    </w:r>
    <w:r w:rsidRPr="007C6734">
      <w:rPr>
        <w:sz w:val="20"/>
      </w:rPr>
      <w:instrText xml:space="preserve"> PAGE   \* MERGEFORMAT </w:instrText>
    </w:r>
    <w:r w:rsidRPr="007C6734">
      <w:rPr>
        <w:sz w:val="20"/>
      </w:rPr>
      <w:fldChar w:fldCharType="separate"/>
    </w:r>
    <w:r w:rsidR="000D38E4">
      <w:rPr>
        <w:noProof/>
        <w:sz w:val="20"/>
      </w:rPr>
      <w:t>7</w:t>
    </w:r>
    <w:r w:rsidRPr="007C6734">
      <w:rPr>
        <w:sz w:val="20"/>
      </w:rPr>
      <w:fldChar w:fldCharType="end"/>
    </w:r>
    <w:r w:rsidRPr="007C6734">
      <w:rPr>
        <w:sz w:val="20"/>
      </w:rPr>
      <w:t xml:space="preserve"> | </w:t>
    </w:r>
    <w:r w:rsidRPr="007C6734">
      <w:rPr>
        <w:rFonts w:ascii="Arial Narrow" w:hAnsi="Arial Narrow"/>
        <w:color w:val="7F7F7F"/>
        <w:sz w:val="20"/>
      </w:rPr>
      <w:t>5244 Syllabus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65" w:rsidRDefault="005E7A65" w:rsidP="00082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7A65" w:rsidRDefault="005E7A65" w:rsidP="00035C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65" w:rsidRPr="00B824E4" w:rsidRDefault="005E7A65" w:rsidP="00082423">
    <w:pPr>
      <w:pStyle w:val="Footer"/>
      <w:framePr w:wrap="around" w:vAnchor="text" w:hAnchor="margin" w:xAlign="right" w:y="1"/>
      <w:rPr>
        <w:rStyle w:val="PageNumber"/>
        <w:sz w:val="20"/>
        <w:szCs w:val="20"/>
      </w:rPr>
    </w:pPr>
    <w:r w:rsidRPr="00B824E4">
      <w:rPr>
        <w:rStyle w:val="PageNumber"/>
        <w:sz w:val="20"/>
        <w:szCs w:val="20"/>
      </w:rPr>
      <w:fldChar w:fldCharType="begin"/>
    </w:r>
    <w:r w:rsidRPr="00B824E4">
      <w:rPr>
        <w:rStyle w:val="PageNumber"/>
        <w:sz w:val="20"/>
        <w:szCs w:val="20"/>
      </w:rPr>
      <w:instrText xml:space="preserve">PAGE  </w:instrText>
    </w:r>
    <w:r w:rsidRPr="00B824E4">
      <w:rPr>
        <w:rStyle w:val="PageNumber"/>
        <w:sz w:val="20"/>
        <w:szCs w:val="20"/>
      </w:rPr>
      <w:fldChar w:fldCharType="separate"/>
    </w:r>
    <w:r w:rsidR="00685741">
      <w:rPr>
        <w:rStyle w:val="PageNumber"/>
        <w:noProof/>
        <w:sz w:val="20"/>
        <w:szCs w:val="20"/>
      </w:rPr>
      <w:t>8</w:t>
    </w:r>
    <w:r w:rsidRPr="00B824E4">
      <w:rPr>
        <w:rStyle w:val="PageNumber"/>
        <w:sz w:val="20"/>
        <w:szCs w:val="20"/>
      </w:rPr>
      <w:fldChar w:fldCharType="end"/>
    </w:r>
  </w:p>
  <w:p w:rsidR="005E7A65" w:rsidRPr="00B824E4" w:rsidRDefault="005E7A65" w:rsidP="00577CD2">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0C" w:rsidRDefault="00A0550C">
      <w:r>
        <w:separator/>
      </w:r>
    </w:p>
  </w:footnote>
  <w:footnote w:type="continuationSeparator" w:id="0">
    <w:p w:rsidR="00A0550C" w:rsidRDefault="00A0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82F"/>
    <w:multiLevelType w:val="hybridMultilevel"/>
    <w:tmpl w:val="E3CA7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297E88"/>
    <w:multiLevelType w:val="hybridMultilevel"/>
    <w:tmpl w:val="E8AA4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706B8"/>
    <w:multiLevelType w:val="multilevel"/>
    <w:tmpl w:val="D976170E"/>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15:restartNumberingAfterBreak="0">
    <w:nsid w:val="2D7F1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D5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422B41"/>
    <w:multiLevelType w:val="hybridMultilevel"/>
    <w:tmpl w:val="957E9792"/>
    <w:lvl w:ilvl="0" w:tplc="78DE7A2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B7C31"/>
    <w:multiLevelType w:val="hybridMultilevel"/>
    <w:tmpl w:val="6AFE02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144E81"/>
    <w:multiLevelType w:val="hybridMultilevel"/>
    <w:tmpl w:val="FB72F61E"/>
    <w:lvl w:ilvl="0" w:tplc="78DE7A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1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6212D0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6"/>
  </w:num>
  <w:num w:numId="4">
    <w:abstractNumId w:val="1"/>
  </w:num>
  <w:num w:numId="5">
    <w:abstractNumId w:val="0"/>
  </w:num>
  <w:num w:numId="6">
    <w:abstractNumId w:val="9"/>
  </w:num>
  <w:num w:numId="7">
    <w:abstractNumId w:val="8"/>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81"/>
    <w:rsid w:val="00035CCC"/>
    <w:rsid w:val="000415B0"/>
    <w:rsid w:val="00082423"/>
    <w:rsid w:val="000B5FC4"/>
    <w:rsid w:val="000D38E4"/>
    <w:rsid w:val="000D645C"/>
    <w:rsid w:val="000D6FA9"/>
    <w:rsid w:val="000F41DE"/>
    <w:rsid w:val="00113492"/>
    <w:rsid w:val="00136BD5"/>
    <w:rsid w:val="001567DE"/>
    <w:rsid w:val="0018216C"/>
    <w:rsid w:val="00193CA5"/>
    <w:rsid w:val="001D0181"/>
    <w:rsid w:val="001D7E47"/>
    <w:rsid w:val="001E5470"/>
    <w:rsid w:val="00206F21"/>
    <w:rsid w:val="002B5B7C"/>
    <w:rsid w:val="002C4BE9"/>
    <w:rsid w:val="002F22D6"/>
    <w:rsid w:val="002F2D35"/>
    <w:rsid w:val="003072C9"/>
    <w:rsid w:val="003116EE"/>
    <w:rsid w:val="00323AD5"/>
    <w:rsid w:val="00352406"/>
    <w:rsid w:val="00370305"/>
    <w:rsid w:val="003862B4"/>
    <w:rsid w:val="003E3DCA"/>
    <w:rsid w:val="00425CCC"/>
    <w:rsid w:val="00446FDC"/>
    <w:rsid w:val="0045528A"/>
    <w:rsid w:val="00460933"/>
    <w:rsid w:val="0048469E"/>
    <w:rsid w:val="004A0991"/>
    <w:rsid w:val="004D0972"/>
    <w:rsid w:val="004D1EF8"/>
    <w:rsid w:val="00503833"/>
    <w:rsid w:val="00525B96"/>
    <w:rsid w:val="005473F2"/>
    <w:rsid w:val="00554649"/>
    <w:rsid w:val="0057017E"/>
    <w:rsid w:val="00577CD2"/>
    <w:rsid w:val="005C0B2A"/>
    <w:rsid w:val="005D038A"/>
    <w:rsid w:val="005D2F14"/>
    <w:rsid w:val="005E7A65"/>
    <w:rsid w:val="00641D34"/>
    <w:rsid w:val="006426A6"/>
    <w:rsid w:val="0064354D"/>
    <w:rsid w:val="00643B6B"/>
    <w:rsid w:val="00643F08"/>
    <w:rsid w:val="006725F1"/>
    <w:rsid w:val="00685741"/>
    <w:rsid w:val="006A304F"/>
    <w:rsid w:val="006A3C2C"/>
    <w:rsid w:val="006E2013"/>
    <w:rsid w:val="007172E3"/>
    <w:rsid w:val="00724746"/>
    <w:rsid w:val="007378DD"/>
    <w:rsid w:val="00755B78"/>
    <w:rsid w:val="00796BAD"/>
    <w:rsid w:val="007A695D"/>
    <w:rsid w:val="007E02F6"/>
    <w:rsid w:val="008113BE"/>
    <w:rsid w:val="00844140"/>
    <w:rsid w:val="0086011F"/>
    <w:rsid w:val="00874558"/>
    <w:rsid w:val="00875CDC"/>
    <w:rsid w:val="008A1CA9"/>
    <w:rsid w:val="008B136C"/>
    <w:rsid w:val="008D5EED"/>
    <w:rsid w:val="008F2C95"/>
    <w:rsid w:val="008F43E1"/>
    <w:rsid w:val="009250A7"/>
    <w:rsid w:val="0093777B"/>
    <w:rsid w:val="00955E52"/>
    <w:rsid w:val="009712D0"/>
    <w:rsid w:val="00996367"/>
    <w:rsid w:val="009A4820"/>
    <w:rsid w:val="009A4DEC"/>
    <w:rsid w:val="009B696F"/>
    <w:rsid w:val="009C0E46"/>
    <w:rsid w:val="00A0550C"/>
    <w:rsid w:val="00A06D79"/>
    <w:rsid w:val="00A250DD"/>
    <w:rsid w:val="00A34BB9"/>
    <w:rsid w:val="00A82606"/>
    <w:rsid w:val="00A82904"/>
    <w:rsid w:val="00AA7ACA"/>
    <w:rsid w:val="00B00AE0"/>
    <w:rsid w:val="00B024BE"/>
    <w:rsid w:val="00B61703"/>
    <w:rsid w:val="00B6741C"/>
    <w:rsid w:val="00B824E4"/>
    <w:rsid w:val="00BA509D"/>
    <w:rsid w:val="00BC7F65"/>
    <w:rsid w:val="00BE2880"/>
    <w:rsid w:val="00BF27AD"/>
    <w:rsid w:val="00C073A5"/>
    <w:rsid w:val="00C308AC"/>
    <w:rsid w:val="00C6180D"/>
    <w:rsid w:val="00C72F29"/>
    <w:rsid w:val="00C963A4"/>
    <w:rsid w:val="00CD2846"/>
    <w:rsid w:val="00CE1DF4"/>
    <w:rsid w:val="00D23BC3"/>
    <w:rsid w:val="00D33C3F"/>
    <w:rsid w:val="00D45AF5"/>
    <w:rsid w:val="00D54B92"/>
    <w:rsid w:val="00D57309"/>
    <w:rsid w:val="00D92422"/>
    <w:rsid w:val="00DB5D38"/>
    <w:rsid w:val="00DE269E"/>
    <w:rsid w:val="00E80D68"/>
    <w:rsid w:val="00F00C96"/>
    <w:rsid w:val="00F43F3D"/>
    <w:rsid w:val="00F519C6"/>
    <w:rsid w:val="00F52921"/>
    <w:rsid w:val="00FD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1C15B"/>
  <w15:chartTrackingRefBased/>
  <w15:docId w15:val="{811DF031-CD19-4C34-AA6E-283E003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33C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33C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3C3F"/>
    <w:pPr>
      <w:keepNext/>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D0181"/>
    <w:rPr>
      <w:rFonts w:ascii="Courier New" w:hAnsi="Courier New" w:cs="Courier New"/>
      <w:sz w:val="20"/>
      <w:szCs w:val="20"/>
    </w:rPr>
  </w:style>
  <w:style w:type="paragraph" w:styleId="NormalWeb">
    <w:name w:val="Normal (Web)"/>
    <w:basedOn w:val="Normal"/>
    <w:uiPriority w:val="99"/>
    <w:rsid w:val="008113BE"/>
    <w:pPr>
      <w:spacing w:before="100" w:beforeAutospacing="1" w:after="100" w:afterAutospacing="1"/>
    </w:pPr>
  </w:style>
  <w:style w:type="character" w:styleId="Hyperlink">
    <w:name w:val="Hyperlink"/>
    <w:rsid w:val="008113BE"/>
    <w:rPr>
      <w:color w:val="0000FF"/>
      <w:u w:val="single"/>
    </w:rPr>
  </w:style>
  <w:style w:type="paragraph" w:styleId="Footer">
    <w:name w:val="footer"/>
    <w:basedOn w:val="Normal"/>
    <w:link w:val="FooterChar"/>
    <w:uiPriority w:val="99"/>
    <w:rsid w:val="00035CCC"/>
    <w:pPr>
      <w:tabs>
        <w:tab w:val="center" w:pos="4320"/>
        <w:tab w:val="right" w:pos="8640"/>
      </w:tabs>
    </w:pPr>
  </w:style>
  <w:style w:type="character" w:styleId="PageNumber">
    <w:name w:val="page number"/>
    <w:basedOn w:val="DefaultParagraphFont"/>
    <w:rsid w:val="00035CCC"/>
  </w:style>
  <w:style w:type="paragraph" w:styleId="BalloonText">
    <w:name w:val="Balloon Text"/>
    <w:basedOn w:val="Normal"/>
    <w:semiHidden/>
    <w:rsid w:val="00035CCC"/>
    <w:rPr>
      <w:rFonts w:ascii="Tahoma" w:hAnsi="Tahoma" w:cs="Tahoma"/>
      <w:sz w:val="16"/>
      <w:szCs w:val="16"/>
    </w:rPr>
  </w:style>
  <w:style w:type="paragraph" w:styleId="Header">
    <w:name w:val="header"/>
    <w:basedOn w:val="Normal"/>
    <w:rsid w:val="00CD2846"/>
    <w:pPr>
      <w:tabs>
        <w:tab w:val="center" w:pos="4320"/>
        <w:tab w:val="right" w:pos="8640"/>
      </w:tabs>
    </w:pPr>
  </w:style>
  <w:style w:type="paragraph" w:styleId="Title">
    <w:name w:val="Title"/>
    <w:basedOn w:val="Normal"/>
    <w:qFormat/>
    <w:rsid w:val="006426A6"/>
    <w:pPr>
      <w:jc w:val="center"/>
    </w:pPr>
    <w:rPr>
      <w:sz w:val="28"/>
      <w:szCs w:val="20"/>
    </w:rPr>
  </w:style>
  <w:style w:type="paragraph" w:styleId="BodyTextIndent">
    <w:name w:val="Body Text Indent"/>
    <w:basedOn w:val="Normal"/>
    <w:rsid w:val="00D33C3F"/>
    <w:pPr>
      <w:spacing w:before="100" w:beforeAutospacing="1" w:after="100" w:afterAutospacing="1"/>
    </w:pPr>
  </w:style>
  <w:style w:type="character" w:styleId="Strong">
    <w:name w:val="Strong"/>
    <w:qFormat/>
    <w:rsid w:val="00D33C3F"/>
    <w:rPr>
      <w:b/>
      <w:bCs/>
    </w:rPr>
  </w:style>
  <w:style w:type="paragraph" w:styleId="ListParagraph">
    <w:name w:val="List Paragraph"/>
    <w:basedOn w:val="Normal"/>
    <w:uiPriority w:val="34"/>
    <w:qFormat/>
    <w:rsid w:val="002C4BE9"/>
    <w:pPr>
      <w:ind w:left="720"/>
      <w:contextualSpacing/>
    </w:pPr>
    <w:rPr>
      <w:szCs w:val="20"/>
    </w:rPr>
  </w:style>
  <w:style w:type="character" w:customStyle="1" w:styleId="PlainTextChar">
    <w:name w:val="Plain Text Char"/>
    <w:link w:val="PlainText"/>
    <w:rsid w:val="00685741"/>
    <w:rPr>
      <w:rFonts w:ascii="Courier New" w:hAnsi="Courier New" w:cs="Courier New"/>
    </w:rPr>
  </w:style>
  <w:style w:type="character" w:customStyle="1" w:styleId="FooterChar">
    <w:name w:val="Footer Char"/>
    <w:link w:val="Footer"/>
    <w:uiPriority w:val="99"/>
    <w:rsid w:val="00685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823">
      <w:bodyDiv w:val="1"/>
      <w:marLeft w:val="0"/>
      <w:marRight w:val="0"/>
      <w:marTop w:val="0"/>
      <w:marBottom w:val="0"/>
      <w:divBdr>
        <w:top w:val="none" w:sz="0" w:space="0" w:color="auto"/>
        <w:left w:val="none" w:sz="0" w:space="0" w:color="auto"/>
        <w:bottom w:val="none" w:sz="0" w:space="0" w:color="auto"/>
        <w:right w:val="none" w:sz="0" w:space="0" w:color="auto"/>
      </w:divBdr>
    </w:div>
    <w:div w:id="126169551">
      <w:bodyDiv w:val="1"/>
      <w:marLeft w:val="0"/>
      <w:marRight w:val="0"/>
      <w:marTop w:val="0"/>
      <w:marBottom w:val="0"/>
      <w:divBdr>
        <w:top w:val="none" w:sz="0" w:space="0" w:color="auto"/>
        <w:left w:val="none" w:sz="0" w:space="0" w:color="auto"/>
        <w:bottom w:val="none" w:sz="0" w:space="0" w:color="auto"/>
        <w:right w:val="none" w:sz="0" w:space="0" w:color="auto"/>
      </w:divBdr>
      <w:divsChild>
        <w:div w:id="1243494050">
          <w:marLeft w:val="0"/>
          <w:marRight w:val="0"/>
          <w:marTop w:val="0"/>
          <w:marBottom w:val="0"/>
          <w:divBdr>
            <w:top w:val="none" w:sz="0" w:space="0" w:color="auto"/>
            <w:left w:val="none" w:sz="0" w:space="0" w:color="auto"/>
            <w:bottom w:val="none" w:sz="0" w:space="0" w:color="auto"/>
            <w:right w:val="none" w:sz="0" w:space="0" w:color="auto"/>
          </w:divBdr>
        </w:div>
      </w:divsChild>
    </w:div>
    <w:div w:id="8295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mn.edu/education/gradingtranscripts" TargetMode="External"/><Relationship Id="rId13" Type="http://schemas.openxmlformats.org/officeDocument/2006/relationships/hyperlink" Target="http://www1.umn.edu/oscai/integrity/student/index.html" TargetMode="External"/><Relationship Id="rId18" Type="http://schemas.openxmlformats.org/officeDocument/2006/relationships/hyperlink" Target="http://regents.umn.edu/sites/regents.umn.edu/files/policies/SexHarassmen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ntalhealth.umn.edu" TargetMode="External"/><Relationship Id="rId7" Type="http://schemas.openxmlformats.org/officeDocument/2006/relationships/hyperlink" Target="http://policy.umn.edu/Policies/Education/Education/MAKEUPWORK.html" TargetMode="External"/><Relationship Id="rId12" Type="http://schemas.openxmlformats.org/officeDocument/2006/relationships/hyperlink" Target="http://policy.umn.edu/education/instructorresp" TargetMode="External"/><Relationship Id="rId17" Type="http://schemas.openxmlformats.org/officeDocument/2006/relationships/hyperlink" Target="http://policy.umn.edu/Policies/Education/Education/STUDENTRESP.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cy.umn.edu/Policies/Education/Education/STUDENTRESP.html" TargetMode="External"/><Relationship Id="rId20" Type="http://schemas.openxmlformats.org/officeDocument/2006/relationships/hyperlink" Target="https://diversity.um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ents.umn.edu/sites/regents.umn.edu/files/policies/Student_Conduct_Code.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olicy.umn.edu/Policies/Education/Education/STUDENTRESP.html" TargetMode="External"/><Relationship Id="rId23" Type="http://schemas.openxmlformats.org/officeDocument/2006/relationships/footer" Target="footer2.xml"/><Relationship Id="rId10" Type="http://schemas.openxmlformats.org/officeDocument/2006/relationships/hyperlink" Target="http://www.policy.umn.edu/Policies/Education/Education/STUDENTWORK.html" TargetMode="External"/><Relationship Id="rId19" Type="http://schemas.openxmlformats.org/officeDocument/2006/relationships/hyperlink" Target="http://regents.umn.edu/sites/regents.umn.edu/files/policies/Equity_Diversity_EO_AA.pdf" TargetMode="External"/><Relationship Id="rId4" Type="http://schemas.openxmlformats.org/officeDocument/2006/relationships/webSettings" Target="webSettings.xml"/><Relationship Id="rId9" Type="http://schemas.openxmlformats.org/officeDocument/2006/relationships/hyperlink" Target="http://onestop.umn.edu/onestop/" TargetMode="External"/><Relationship Id="rId14" Type="http://schemas.openxmlformats.org/officeDocument/2006/relationships/hyperlink" Target="http://onestop.umn.edu/onestop/faculty/Teaching/Polici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Course Syllabus</vt:lpstr>
    </vt:vector>
  </TitlesOfParts>
  <Company>University of Minnesota</Company>
  <LinksUpToDate>false</LinksUpToDate>
  <CharactersWithSpaces>22702</CharactersWithSpaces>
  <SharedDoc>false</SharedDoc>
  <HLinks>
    <vt:vector size="108" baseType="variant">
      <vt:variant>
        <vt:i4>1179719</vt:i4>
      </vt:variant>
      <vt:variant>
        <vt:i4>51</vt:i4>
      </vt:variant>
      <vt:variant>
        <vt:i4>0</vt:i4>
      </vt:variant>
      <vt:variant>
        <vt:i4>5</vt:i4>
      </vt:variant>
      <vt:variant>
        <vt:lpwstr>http://www.mentalhealth.umn.edu/</vt:lpwstr>
      </vt:variant>
      <vt:variant>
        <vt:lpwstr/>
      </vt:variant>
      <vt:variant>
        <vt:i4>5046358</vt:i4>
      </vt:variant>
      <vt:variant>
        <vt:i4>48</vt:i4>
      </vt:variant>
      <vt:variant>
        <vt:i4>0</vt:i4>
      </vt:variant>
      <vt:variant>
        <vt:i4>5</vt:i4>
      </vt:variant>
      <vt:variant>
        <vt:lpwstr>https://diversity.umn.edu/disability/</vt:lpwstr>
      </vt:variant>
      <vt:variant>
        <vt:lpwstr/>
      </vt:variant>
      <vt:variant>
        <vt:i4>5177406</vt:i4>
      </vt:variant>
      <vt:variant>
        <vt:i4>45</vt:i4>
      </vt:variant>
      <vt:variant>
        <vt:i4>0</vt:i4>
      </vt:variant>
      <vt:variant>
        <vt:i4>5</vt:i4>
      </vt:variant>
      <vt:variant>
        <vt:lpwstr>http://regents.umn.edu/sites/regents.umn.edu/files/policies/Equity_Diversity_EO_AA.pdf</vt:lpwstr>
      </vt:variant>
      <vt:variant>
        <vt:lpwstr/>
      </vt:variant>
      <vt:variant>
        <vt:i4>5636108</vt:i4>
      </vt:variant>
      <vt:variant>
        <vt:i4>42</vt:i4>
      </vt:variant>
      <vt:variant>
        <vt:i4>0</vt:i4>
      </vt:variant>
      <vt:variant>
        <vt:i4>5</vt:i4>
      </vt:variant>
      <vt:variant>
        <vt:lpwstr>http://regents.umn.edu/sites/regents.umn.edu/files/policies/SexHarassment.pdf</vt:lpwstr>
      </vt:variant>
      <vt:variant>
        <vt:lpwstr/>
      </vt:variant>
      <vt:variant>
        <vt:i4>6881389</vt:i4>
      </vt:variant>
      <vt:variant>
        <vt:i4>39</vt:i4>
      </vt:variant>
      <vt:variant>
        <vt:i4>0</vt:i4>
      </vt:variant>
      <vt:variant>
        <vt:i4>5</vt:i4>
      </vt:variant>
      <vt:variant>
        <vt:lpwstr>http://policy.umn.edu/Policies/Education/Education/STUDENTRESP.html</vt:lpwstr>
      </vt:variant>
      <vt:variant>
        <vt:lpwstr/>
      </vt:variant>
      <vt:variant>
        <vt:i4>6881389</vt:i4>
      </vt:variant>
      <vt:variant>
        <vt:i4>36</vt:i4>
      </vt:variant>
      <vt:variant>
        <vt:i4>0</vt:i4>
      </vt:variant>
      <vt:variant>
        <vt:i4>5</vt:i4>
      </vt:variant>
      <vt:variant>
        <vt:lpwstr>http://policy.umn.edu/Policies/Education/Education/STUDENTRESP.html</vt:lpwstr>
      </vt:variant>
      <vt:variant>
        <vt:lpwstr/>
      </vt:variant>
      <vt:variant>
        <vt:i4>6881389</vt:i4>
      </vt:variant>
      <vt:variant>
        <vt:i4>33</vt:i4>
      </vt:variant>
      <vt:variant>
        <vt:i4>0</vt:i4>
      </vt:variant>
      <vt:variant>
        <vt:i4>5</vt:i4>
      </vt:variant>
      <vt:variant>
        <vt:lpwstr>http://policy.umn.edu/Policies/Education/Education/STUDENTRESP.html</vt:lpwstr>
      </vt:variant>
      <vt:variant>
        <vt:lpwstr/>
      </vt:variant>
      <vt:variant>
        <vt:i4>1376263</vt:i4>
      </vt:variant>
      <vt:variant>
        <vt:i4>30</vt:i4>
      </vt:variant>
      <vt:variant>
        <vt:i4>0</vt:i4>
      </vt:variant>
      <vt:variant>
        <vt:i4>5</vt:i4>
      </vt:variant>
      <vt:variant>
        <vt:lpwstr>http://onestop.umn.edu/onestop/faculty/Teaching/Policies.html</vt:lpwstr>
      </vt:variant>
      <vt:variant>
        <vt:lpwstr/>
      </vt:variant>
      <vt:variant>
        <vt:i4>8257580</vt:i4>
      </vt:variant>
      <vt:variant>
        <vt:i4>27</vt:i4>
      </vt:variant>
      <vt:variant>
        <vt:i4>0</vt:i4>
      </vt:variant>
      <vt:variant>
        <vt:i4>5</vt:i4>
      </vt:variant>
      <vt:variant>
        <vt:lpwstr>http://www1.umn.edu/oscai/integrity/student/index.html</vt:lpwstr>
      </vt:variant>
      <vt:variant>
        <vt:lpwstr/>
      </vt:variant>
      <vt:variant>
        <vt:i4>3997806</vt:i4>
      </vt:variant>
      <vt:variant>
        <vt:i4>24</vt:i4>
      </vt:variant>
      <vt:variant>
        <vt:i4>0</vt:i4>
      </vt:variant>
      <vt:variant>
        <vt:i4>5</vt:i4>
      </vt:variant>
      <vt:variant>
        <vt:lpwstr>http://policy.umn.edu/education/instructorresp</vt:lpwstr>
      </vt:variant>
      <vt:variant>
        <vt:lpwstr/>
      </vt:variant>
      <vt:variant>
        <vt:i4>1638467</vt:i4>
      </vt:variant>
      <vt:variant>
        <vt:i4>21</vt:i4>
      </vt:variant>
      <vt:variant>
        <vt:i4>0</vt:i4>
      </vt:variant>
      <vt:variant>
        <vt:i4>5</vt:i4>
      </vt:variant>
      <vt:variant>
        <vt:lpwstr>http://regents.umn.edu/sites/regents.umn.edu/files/policies/Student_Conduct_Code.pdf</vt:lpwstr>
      </vt:variant>
      <vt:variant>
        <vt:lpwstr/>
      </vt:variant>
      <vt:variant>
        <vt:i4>7864368</vt:i4>
      </vt:variant>
      <vt:variant>
        <vt:i4>18</vt:i4>
      </vt:variant>
      <vt:variant>
        <vt:i4>0</vt:i4>
      </vt:variant>
      <vt:variant>
        <vt:i4>5</vt:i4>
      </vt:variant>
      <vt:variant>
        <vt:lpwstr>http://www.policy.umn.edu/Policies/Education/Education/STUDENTWORK.html</vt:lpwstr>
      </vt:variant>
      <vt:variant>
        <vt:lpwstr/>
      </vt:variant>
      <vt:variant>
        <vt:i4>2097199</vt:i4>
      </vt:variant>
      <vt:variant>
        <vt:i4>15</vt:i4>
      </vt:variant>
      <vt:variant>
        <vt:i4>0</vt:i4>
      </vt:variant>
      <vt:variant>
        <vt:i4>5</vt:i4>
      </vt:variant>
      <vt:variant>
        <vt:lpwstr>http://onestop.umn.edu/onestop/</vt:lpwstr>
      </vt:variant>
      <vt:variant>
        <vt:lpwstr/>
      </vt:variant>
      <vt:variant>
        <vt:i4>7929910</vt:i4>
      </vt:variant>
      <vt:variant>
        <vt:i4>12</vt:i4>
      </vt:variant>
      <vt:variant>
        <vt:i4>0</vt:i4>
      </vt:variant>
      <vt:variant>
        <vt:i4>5</vt:i4>
      </vt:variant>
      <vt:variant>
        <vt:lpwstr>https://policy.umn.edu/education/gradingtranscripts</vt:lpwstr>
      </vt:variant>
      <vt:variant>
        <vt:lpwstr/>
      </vt:variant>
      <vt:variant>
        <vt:i4>3014717</vt:i4>
      </vt:variant>
      <vt:variant>
        <vt:i4>9</vt:i4>
      </vt:variant>
      <vt:variant>
        <vt:i4>0</vt:i4>
      </vt:variant>
      <vt:variant>
        <vt:i4>5</vt:i4>
      </vt:variant>
      <vt:variant>
        <vt:lpwstr>http://policy.umn.edu/Policies/Education/Education/MAKEUPWORK.html</vt:lpwstr>
      </vt:variant>
      <vt:variant>
        <vt:lpwstr/>
      </vt:variant>
      <vt:variant>
        <vt:i4>4915278</vt:i4>
      </vt:variant>
      <vt:variant>
        <vt:i4>6</vt:i4>
      </vt:variant>
      <vt:variant>
        <vt:i4>0</vt:i4>
      </vt:variant>
      <vt:variant>
        <vt:i4>5</vt:i4>
      </vt:variant>
      <vt:variant>
        <vt:lpwstr>http://www.tqmp.org/Content/vol08-1/p052/p052.pdf</vt:lpwstr>
      </vt:variant>
      <vt:variant>
        <vt:lpwstr/>
      </vt:variant>
      <vt:variant>
        <vt:i4>6094889</vt:i4>
      </vt:variant>
      <vt:variant>
        <vt:i4>3</vt:i4>
      </vt:variant>
      <vt:variant>
        <vt:i4>0</vt:i4>
      </vt:variant>
      <vt:variant>
        <vt:i4>5</vt:i4>
      </vt:variant>
      <vt:variant>
        <vt:lpwstr>http://marketing-bulletin.massey.ac.nz/V15/MB_V15_T1_Wech.pdf</vt:lpwstr>
      </vt:variant>
      <vt:variant>
        <vt:lpwstr/>
      </vt:variant>
      <vt:variant>
        <vt:i4>2818107</vt:i4>
      </vt:variant>
      <vt:variant>
        <vt:i4>0</vt:i4>
      </vt:variant>
      <vt:variant>
        <vt:i4>0</vt:i4>
      </vt:variant>
      <vt:variant>
        <vt:i4>5</vt:i4>
      </vt:variant>
      <vt:variant>
        <vt:lpwstr>http://www.edmeasurement.net/8268/Hobson-2013-HLM-in-evaluation.pdf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morga003</dc:creator>
  <cp:keywords/>
  <cp:lastModifiedBy>Michael C Rodriguez</cp:lastModifiedBy>
  <cp:revision>2</cp:revision>
  <cp:lastPrinted>2014-03-27T17:45:00Z</cp:lastPrinted>
  <dcterms:created xsi:type="dcterms:W3CDTF">2018-01-27T05:55:00Z</dcterms:created>
  <dcterms:modified xsi:type="dcterms:W3CDTF">2018-01-27T05:55:00Z</dcterms:modified>
</cp:coreProperties>
</file>