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7AB" w:rsidRPr="00B1289F" w:rsidRDefault="00510D5A" w:rsidP="006426A6">
      <w:pPr>
        <w:pStyle w:val="Title"/>
      </w:pPr>
      <w:r>
        <w:t>EPSY 8224</w:t>
      </w:r>
      <w:r w:rsidR="000147AB" w:rsidRPr="00B1289F">
        <w:t>:</w:t>
      </w:r>
      <w:r>
        <w:t xml:space="preserve"> Performance Assessment Design &amp; Analysis</w:t>
      </w:r>
    </w:p>
    <w:p w:rsidR="006426A6" w:rsidRPr="00B1289F" w:rsidRDefault="006426A6" w:rsidP="006426A6">
      <w:pPr>
        <w:pStyle w:val="Title"/>
        <w:rPr>
          <w:szCs w:val="24"/>
        </w:rPr>
      </w:pPr>
      <w:r w:rsidRPr="00B1289F">
        <w:rPr>
          <w:szCs w:val="24"/>
        </w:rPr>
        <w:t>Spring Semeste</w:t>
      </w:r>
      <w:r w:rsidR="00510D5A">
        <w:rPr>
          <w:szCs w:val="24"/>
        </w:rPr>
        <w:t>r, 2019</w:t>
      </w:r>
    </w:p>
    <w:p w:rsidR="006426A6" w:rsidRPr="00B1289F" w:rsidRDefault="00D937CC" w:rsidP="006426A6">
      <w:pPr>
        <w:pStyle w:val="Title"/>
        <w:rPr>
          <w:szCs w:val="24"/>
        </w:rPr>
      </w:pPr>
      <w:r>
        <w:rPr>
          <w:szCs w:val="24"/>
        </w:rPr>
        <w:t>Mondays</w:t>
      </w:r>
      <w:r w:rsidR="00510D5A">
        <w:rPr>
          <w:szCs w:val="24"/>
        </w:rPr>
        <w:t xml:space="preserve"> 9:05 – 11:55 am</w:t>
      </w:r>
    </w:p>
    <w:p w:rsidR="006426A6" w:rsidRPr="00B1289F" w:rsidRDefault="006426A6" w:rsidP="006426A6">
      <w:pPr>
        <w:jc w:val="center"/>
      </w:pPr>
    </w:p>
    <w:tbl>
      <w:tblPr>
        <w:tblW w:w="0" w:type="auto"/>
        <w:jc w:val="center"/>
        <w:tblLook w:val="0000" w:firstRow="0" w:lastRow="0" w:firstColumn="0" w:lastColumn="0" w:noHBand="0" w:noVBand="0"/>
      </w:tblPr>
      <w:tblGrid>
        <w:gridCol w:w="4406"/>
        <w:gridCol w:w="4500"/>
      </w:tblGrid>
      <w:tr w:rsidR="006426A6" w:rsidRPr="00B1289F" w:rsidTr="00B1289F">
        <w:trPr>
          <w:jc w:val="center"/>
        </w:trPr>
        <w:tc>
          <w:tcPr>
            <w:tcW w:w="4406" w:type="dxa"/>
            <w:tcBorders>
              <w:top w:val="single" w:sz="4" w:space="0" w:color="auto"/>
            </w:tcBorders>
          </w:tcPr>
          <w:p w:rsidR="006426A6" w:rsidRPr="00B1289F" w:rsidRDefault="006426A6" w:rsidP="001D7E47">
            <w:pPr>
              <w:pStyle w:val="NormalWeb"/>
              <w:spacing w:before="0" w:beforeAutospacing="0" w:after="0" w:afterAutospacing="0"/>
            </w:pPr>
            <w:r w:rsidRPr="00B1289F">
              <w:t>Instructor:  Michael C. Rodriguez</w:t>
            </w:r>
          </w:p>
        </w:tc>
        <w:tc>
          <w:tcPr>
            <w:tcW w:w="4500" w:type="dxa"/>
            <w:tcBorders>
              <w:top w:val="single" w:sz="4" w:space="0" w:color="auto"/>
            </w:tcBorders>
          </w:tcPr>
          <w:p w:rsidR="006426A6" w:rsidRPr="00B1289F" w:rsidRDefault="006426A6" w:rsidP="00787077">
            <w:pPr>
              <w:ind w:left="119"/>
            </w:pPr>
            <w:r w:rsidRPr="00B1289F">
              <w:t xml:space="preserve">Classroom:  </w:t>
            </w:r>
            <w:r w:rsidR="00197D28" w:rsidRPr="00B1289F">
              <w:t>2</w:t>
            </w:r>
            <w:r w:rsidR="00D937CC">
              <w:t>1</w:t>
            </w:r>
            <w:r w:rsidR="00197D28" w:rsidRPr="00B1289F">
              <w:t xml:space="preserve">5 </w:t>
            </w:r>
            <w:proofErr w:type="spellStart"/>
            <w:r w:rsidR="00197D28" w:rsidRPr="00B1289F">
              <w:t>Peik</w:t>
            </w:r>
            <w:proofErr w:type="spellEnd"/>
            <w:r w:rsidR="00197D28" w:rsidRPr="00B1289F">
              <w:t xml:space="preserve"> Hall</w:t>
            </w:r>
          </w:p>
        </w:tc>
      </w:tr>
      <w:tr w:rsidR="006426A6" w:rsidRPr="00B1289F" w:rsidTr="001D7E47">
        <w:trPr>
          <w:jc w:val="center"/>
        </w:trPr>
        <w:tc>
          <w:tcPr>
            <w:tcW w:w="4406" w:type="dxa"/>
          </w:tcPr>
          <w:p w:rsidR="006426A6" w:rsidRPr="00B1289F" w:rsidRDefault="006426A6" w:rsidP="001D7E47">
            <w:r w:rsidRPr="00B1289F">
              <w:t>Phone:  612-624-4324</w:t>
            </w:r>
          </w:p>
        </w:tc>
        <w:tc>
          <w:tcPr>
            <w:tcW w:w="4500" w:type="dxa"/>
          </w:tcPr>
          <w:p w:rsidR="006426A6" w:rsidRPr="00B1289F" w:rsidRDefault="006426A6" w:rsidP="006B7028">
            <w:pPr>
              <w:ind w:left="119"/>
            </w:pPr>
            <w:r w:rsidRPr="00B1289F">
              <w:t xml:space="preserve">Office:  </w:t>
            </w:r>
            <w:r w:rsidR="00F12AE2" w:rsidRPr="00B1289F">
              <w:t>170</w:t>
            </w:r>
            <w:r w:rsidR="006B7028" w:rsidRPr="00B1289F">
              <w:t xml:space="preserve"> Education Sciences</w:t>
            </w:r>
          </w:p>
        </w:tc>
      </w:tr>
      <w:tr w:rsidR="006426A6" w:rsidRPr="00B1289F" w:rsidTr="00B1289F">
        <w:trPr>
          <w:cantSplit/>
          <w:jc w:val="center"/>
        </w:trPr>
        <w:tc>
          <w:tcPr>
            <w:tcW w:w="4406" w:type="dxa"/>
          </w:tcPr>
          <w:p w:rsidR="006426A6" w:rsidRPr="00B1289F" w:rsidRDefault="006426A6" w:rsidP="001D7E47">
            <w:r w:rsidRPr="00B1289F">
              <w:t>Email:  mcrdz@umn.edu</w:t>
            </w:r>
          </w:p>
        </w:tc>
        <w:tc>
          <w:tcPr>
            <w:tcW w:w="4500" w:type="dxa"/>
            <w:vMerge w:val="restart"/>
          </w:tcPr>
          <w:p w:rsidR="006426A6" w:rsidRPr="00B1289F" w:rsidRDefault="006426A6" w:rsidP="001D7E47">
            <w:pPr>
              <w:ind w:left="119"/>
            </w:pPr>
            <w:r w:rsidRPr="00B1289F">
              <w:t xml:space="preserve">Office Hours:  </w:t>
            </w:r>
            <w:r w:rsidR="00787077" w:rsidRPr="00B1289F">
              <w:t>Tuesdays</w:t>
            </w:r>
            <w:r w:rsidRPr="00B1289F">
              <w:t xml:space="preserve"> </w:t>
            </w:r>
            <w:r w:rsidR="0078697D" w:rsidRPr="00B1289F">
              <w:t>1</w:t>
            </w:r>
            <w:r w:rsidR="00F12AE2" w:rsidRPr="00B1289F">
              <w:t>:</w:t>
            </w:r>
            <w:r w:rsidR="00787077" w:rsidRPr="00B1289F">
              <w:t>00-3:00</w:t>
            </w:r>
          </w:p>
          <w:p w:rsidR="006426A6" w:rsidRPr="00B1289F" w:rsidRDefault="00D937CC" w:rsidP="001D7E47">
            <w:pPr>
              <w:ind w:left="1577"/>
            </w:pPr>
            <w:r>
              <w:t>and</w:t>
            </w:r>
            <w:r w:rsidR="006426A6" w:rsidRPr="00B1289F">
              <w:t xml:space="preserve"> by appointment</w:t>
            </w:r>
          </w:p>
        </w:tc>
      </w:tr>
      <w:tr w:rsidR="006426A6" w:rsidRPr="00B1289F" w:rsidTr="00B1289F">
        <w:trPr>
          <w:cantSplit/>
          <w:jc w:val="center"/>
        </w:trPr>
        <w:tc>
          <w:tcPr>
            <w:tcW w:w="4406" w:type="dxa"/>
            <w:tcBorders>
              <w:bottom w:val="single" w:sz="4" w:space="0" w:color="auto"/>
            </w:tcBorders>
            <w:vAlign w:val="center"/>
          </w:tcPr>
          <w:p w:rsidR="006426A6" w:rsidRPr="00B1289F" w:rsidRDefault="006426A6" w:rsidP="001D7E47">
            <w:r w:rsidRPr="00B1289F">
              <w:t>Web:  http://www.edmeasurement.net</w:t>
            </w:r>
          </w:p>
        </w:tc>
        <w:tc>
          <w:tcPr>
            <w:tcW w:w="0" w:type="auto"/>
            <w:vMerge/>
            <w:tcBorders>
              <w:bottom w:val="single" w:sz="4" w:space="0" w:color="auto"/>
            </w:tcBorders>
          </w:tcPr>
          <w:p w:rsidR="006426A6" w:rsidRPr="00B1289F" w:rsidRDefault="006426A6" w:rsidP="001D7E47"/>
        </w:tc>
      </w:tr>
    </w:tbl>
    <w:p w:rsidR="006426A6" w:rsidRDefault="006426A6" w:rsidP="006426A6">
      <w:pPr>
        <w:ind w:left="360" w:hanging="360"/>
      </w:pPr>
    </w:p>
    <w:p w:rsidR="00F3121D" w:rsidRPr="00B1289F" w:rsidRDefault="00F3121D" w:rsidP="006426A6">
      <w:pPr>
        <w:ind w:left="360" w:hanging="360"/>
      </w:pPr>
    </w:p>
    <w:p w:rsidR="00DF7B1C" w:rsidRPr="00B1289F" w:rsidRDefault="00B1289F" w:rsidP="00DF7B1C">
      <w:pPr>
        <w:pStyle w:val="PlainText"/>
        <w:rPr>
          <w:rFonts w:ascii="Times New Roman" w:hAnsi="Times New Roman" w:cs="Times New Roman"/>
          <w:b/>
          <w:sz w:val="28"/>
          <w:szCs w:val="28"/>
        </w:rPr>
      </w:pPr>
      <w:r>
        <w:rPr>
          <w:rFonts w:ascii="Times New Roman" w:hAnsi="Times New Roman" w:cs="Times New Roman"/>
          <w:b/>
          <w:sz w:val="28"/>
          <w:szCs w:val="28"/>
        </w:rPr>
        <w:t>The Course:</w:t>
      </w:r>
    </w:p>
    <w:p w:rsidR="00D937CC" w:rsidRDefault="00D937CC" w:rsidP="00D937CC"/>
    <w:p w:rsidR="00D937CC" w:rsidRDefault="00D937CC" w:rsidP="00D937CC">
      <w:r>
        <w:t xml:space="preserve">Performance assessment is a tool that has been in use for centuries. Evidence suggests that as early as 2200 BC, Chinese emperors set up civil service exams that were performance based trials. It </w:t>
      </w:r>
      <w:proofErr w:type="gramStart"/>
      <w:r>
        <w:t>wasn’t</w:t>
      </w:r>
      <w:proofErr w:type="gramEnd"/>
      <w:r>
        <w:t xml:space="preserve"> until the development of multiple-choice items during WWI and the use of the SAT in the 1920s that objective assessments became the standard for use in large-scale settings in the USA. However, classroom teachers have continued to employ performance-based assessments in both formative and summative evaluation of students. In the last decade or so, performance activities have resurfaced in large-scale settings, particularly in statewide testing programs. The psychometric (technical) qualities of the results have not met current professional standards for making high-stakes decisions about individuals. There has been limited success in the use of performance assessments in some large-scale programs, but the evidence has not been overwhelming in support of these activities over objective measures (e.g., </w:t>
      </w:r>
      <w:proofErr w:type="gramStart"/>
      <w:r>
        <w:t>multiple choice</w:t>
      </w:r>
      <w:proofErr w:type="gramEnd"/>
      <w:r>
        <w:t xml:space="preserve"> tests).</w:t>
      </w:r>
    </w:p>
    <w:p w:rsidR="00D937CC" w:rsidRDefault="00D937CC" w:rsidP="00D937CC"/>
    <w:p w:rsidR="00D937CC" w:rsidRDefault="00D937CC" w:rsidP="00D937CC">
      <w:r>
        <w:t xml:space="preserve">There are many potential uses for performance assessment and we have learned a great deal about their benefits and costs. The literature is rich in this area and the skills needed to develop quality assessments </w:t>
      </w:r>
      <w:proofErr w:type="gramStart"/>
      <w:r>
        <w:t>have been demonstrated</w:t>
      </w:r>
      <w:proofErr w:type="gramEnd"/>
      <w:r>
        <w:t>.</w:t>
      </w:r>
    </w:p>
    <w:p w:rsidR="00D937CC" w:rsidRDefault="00D937CC" w:rsidP="00D937CC"/>
    <w:p w:rsidR="00D937CC" w:rsidRDefault="00D937CC" w:rsidP="00D937CC">
      <w:r w:rsidRPr="001B47F0">
        <w:t xml:space="preserve">The course will present the issues related to the conceptualization, design, implementation, and analysis of performance assessments as employed in both small-scale (e.g., classrooms) and large-scale (e.g., statewide </w:t>
      </w:r>
      <w:r>
        <w:t xml:space="preserve">and national testing programs) settings. </w:t>
      </w:r>
      <w:r w:rsidRPr="001B47F0">
        <w:t xml:space="preserve">The design stage alone is wide-ranging in terms of building test specifications, training task developers, designing tasks and scoring criteria, reviewing tasks for sensitivity and bias, piloting tasks, analyzing pilot results, and finally selecting tasks. </w:t>
      </w:r>
      <w:r>
        <w:t xml:space="preserve">We will examine several existing performance assessment systems, including the Advanced Placement assessments, the NBPTS teacher certification portfolio system and school </w:t>
      </w:r>
      <w:proofErr w:type="gramStart"/>
      <w:r>
        <w:t>leaders</w:t>
      </w:r>
      <w:proofErr w:type="gramEnd"/>
      <w:r>
        <w:t xml:space="preserve"> certification assessments, performance based assessment systems for students with severe cognitive/physical impairments, and others.</w:t>
      </w:r>
    </w:p>
    <w:p w:rsidR="00C53FD1" w:rsidRPr="00B1289F" w:rsidRDefault="00C53FD1" w:rsidP="00DF7B1C">
      <w:pPr>
        <w:pStyle w:val="PlainText"/>
        <w:rPr>
          <w:rFonts w:ascii="Times New Roman" w:hAnsi="Times New Roman" w:cs="Times New Roman"/>
          <w:sz w:val="24"/>
          <w:szCs w:val="24"/>
        </w:rPr>
      </w:pPr>
    </w:p>
    <w:p w:rsidR="00D937CC" w:rsidRPr="00AC02F9" w:rsidRDefault="00D937CC" w:rsidP="00D937CC">
      <w:pPr>
        <w:rPr>
          <w:b/>
          <w:i/>
        </w:rPr>
      </w:pPr>
      <w:r>
        <w:rPr>
          <w:b/>
          <w:i/>
        </w:rPr>
        <w:t>Primary Course Objectives:</w:t>
      </w:r>
    </w:p>
    <w:p w:rsidR="00D937CC" w:rsidRDefault="00D937CC" w:rsidP="00D937CC"/>
    <w:p w:rsidR="00D937CC" w:rsidRDefault="00D937CC" w:rsidP="00D937CC">
      <w:r>
        <w:t xml:space="preserve">This course will provide students with the background, lessons learned, and practical exposure to techniques for the development and implementation of performance assessments at various levels for various purposes, with the skills to </w:t>
      </w:r>
      <w:proofErr w:type="gramStart"/>
      <w:r>
        <w:t>critique</w:t>
      </w:r>
      <w:proofErr w:type="gramEnd"/>
      <w:r>
        <w:t xml:space="preserve"> such uses.</w:t>
      </w:r>
      <w:r w:rsidRPr="001B47F0">
        <w:t xml:space="preserve"> Students will engage in sophisticated readings, complete small projects designing performance assessment tasks and rubrics under a typical set of guidelines, and critique real applications of performance assessments.</w:t>
      </w:r>
    </w:p>
    <w:p w:rsidR="00D937CC" w:rsidRDefault="00D937CC" w:rsidP="00D937CC"/>
    <w:p w:rsidR="00D937CC" w:rsidRDefault="00D937CC" w:rsidP="00D937CC">
      <w:r>
        <w:lastRenderedPageBreak/>
        <w:t xml:space="preserve">During the data analyses sessions, GENOVA software </w:t>
      </w:r>
      <w:proofErr w:type="gramStart"/>
      <w:r>
        <w:t>will be used</w:t>
      </w:r>
      <w:proofErr w:type="gramEnd"/>
      <w:r>
        <w:t xml:space="preserve"> for demonstration and the free downloadable software will be provided online at the course website. The course will also employ several interactive web sites designed to provide students with the opportunity to build their familiarity with every aspect of performance assessment at several levels, including early elementary education, K-12, higher education, and professional assessments.</w:t>
      </w:r>
    </w:p>
    <w:p w:rsidR="00D937CC" w:rsidRDefault="00D937CC" w:rsidP="00D937CC"/>
    <w:p w:rsidR="00D937CC" w:rsidRDefault="00D937CC" w:rsidP="00D937CC">
      <w:r>
        <w:t xml:space="preserve">Specific objectives for each session </w:t>
      </w:r>
      <w:proofErr w:type="gramStart"/>
      <w:r>
        <w:t>will be presented</w:t>
      </w:r>
      <w:proofErr w:type="gramEnd"/>
      <w:r>
        <w:t xml:space="preserve"> at each session. Generally, the student will be able to</w:t>
      </w:r>
    </w:p>
    <w:p w:rsidR="00D937CC" w:rsidRDefault="00D937CC" w:rsidP="00D937CC">
      <w:pPr>
        <w:numPr>
          <w:ilvl w:val="0"/>
          <w:numId w:val="13"/>
        </w:numPr>
      </w:pPr>
      <w:r>
        <w:t>Develop tasks and rubrics for measuring academic and professional skills;</w:t>
      </w:r>
    </w:p>
    <w:p w:rsidR="00D937CC" w:rsidRDefault="00D937CC" w:rsidP="00D937CC">
      <w:pPr>
        <w:numPr>
          <w:ilvl w:val="0"/>
          <w:numId w:val="13"/>
        </w:numPr>
      </w:pPr>
      <w:r>
        <w:t>Evaluate performance assessment tasks, rubrics, and related materials;</w:t>
      </w:r>
    </w:p>
    <w:p w:rsidR="00D937CC" w:rsidRDefault="00D937CC" w:rsidP="00D937CC">
      <w:pPr>
        <w:numPr>
          <w:ilvl w:val="0"/>
          <w:numId w:val="13"/>
        </w:numPr>
      </w:pPr>
      <w:r>
        <w:t>Interpret performance assessment results from a variety of sources; and</w:t>
      </w:r>
    </w:p>
    <w:p w:rsidR="00D937CC" w:rsidRDefault="00D937CC" w:rsidP="00D937CC">
      <w:pPr>
        <w:numPr>
          <w:ilvl w:val="0"/>
          <w:numId w:val="13"/>
        </w:numPr>
      </w:pPr>
      <w:r>
        <w:t>Apply principles of measurement for responsible test use.</w:t>
      </w:r>
    </w:p>
    <w:p w:rsidR="00D937CC" w:rsidRDefault="00D937CC" w:rsidP="00D937CC"/>
    <w:p w:rsidR="00D937CC" w:rsidRPr="00AC02F9" w:rsidRDefault="00D937CC" w:rsidP="00D937CC">
      <w:pPr>
        <w:rPr>
          <w:b/>
          <w:i/>
        </w:rPr>
      </w:pPr>
      <w:r>
        <w:rPr>
          <w:b/>
          <w:i/>
        </w:rPr>
        <w:t>Requirements:</w:t>
      </w:r>
    </w:p>
    <w:p w:rsidR="00D937CC" w:rsidRDefault="00D937CC" w:rsidP="00D937CC"/>
    <w:p w:rsidR="00D937CC" w:rsidRDefault="00D937CC" w:rsidP="00D937CC">
      <w:r>
        <w:t xml:space="preserve">Students </w:t>
      </w:r>
      <w:proofErr w:type="gramStart"/>
      <w:r>
        <w:t>will be expected</w:t>
      </w:r>
      <w:proofErr w:type="gramEnd"/>
      <w:r>
        <w:t xml:space="preserve"> to read the assigned materials prior to class to engage in class discussions. Assignments </w:t>
      </w:r>
      <w:proofErr w:type="gramStart"/>
      <w:r>
        <w:t>are provided</w:t>
      </w:r>
      <w:proofErr w:type="gramEnd"/>
      <w:r>
        <w:t xml:space="preserve"> for reflection and to gain experience in the design and evaluation of performance assessments in a variety of settings. </w:t>
      </w:r>
    </w:p>
    <w:p w:rsidR="00D937CC" w:rsidRDefault="00D937CC" w:rsidP="00D937CC">
      <w:pPr>
        <w:pStyle w:val="ListParagraph"/>
        <w:numPr>
          <w:ilvl w:val="0"/>
          <w:numId w:val="14"/>
        </w:numPr>
      </w:pPr>
      <w:r>
        <w:t xml:space="preserve">Complete performance assessment/portfolio blueprint </w:t>
      </w:r>
    </w:p>
    <w:p w:rsidR="00D937CC" w:rsidRDefault="00D937CC" w:rsidP="00D937CC">
      <w:pPr>
        <w:pStyle w:val="ListParagraph"/>
        <w:numPr>
          <w:ilvl w:val="1"/>
          <w:numId w:val="15"/>
        </w:numPr>
        <w:ind w:left="1080"/>
      </w:pPr>
      <w:r>
        <w:t>Due week 4 (10% of grade)</w:t>
      </w:r>
    </w:p>
    <w:p w:rsidR="00D937CC" w:rsidRDefault="00670F98" w:rsidP="00D937CC">
      <w:pPr>
        <w:pStyle w:val="ListParagraph"/>
        <w:numPr>
          <w:ilvl w:val="0"/>
          <w:numId w:val="14"/>
        </w:numPr>
      </w:pPr>
      <w:r>
        <w:t>Critique existing assessment</w:t>
      </w:r>
    </w:p>
    <w:p w:rsidR="00D937CC" w:rsidRDefault="00D937CC" w:rsidP="00D937CC">
      <w:pPr>
        <w:pStyle w:val="ListParagraph"/>
        <w:numPr>
          <w:ilvl w:val="1"/>
          <w:numId w:val="14"/>
        </w:numPr>
        <w:ind w:left="1080"/>
      </w:pPr>
      <w:r>
        <w:t>Due week 9 (20%)</w:t>
      </w:r>
    </w:p>
    <w:p w:rsidR="00D937CC" w:rsidRDefault="00D937CC" w:rsidP="00D937CC">
      <w:pPr>
        <w:pStyle w:val="ListParagraph"/>
        <w:numPr>
          <w:ilvl w:val="0"/>
          <w:numId w:val="14"/>
        </w:numPr>
      </w:pPr>
      <w:r>
        <w:t>Data-based assignment</w:t>
      </w:r>
    </w:p>
    <w:p w:rsidR="00D937CC" w:rsidRDefault="00D937CC" w:rsidP="00D937CC">
      <w:pPr>
        <w:pStyle w:val="ListParagraph"/>
        <w:numPr>
          <w:ilvl w:val="1"/>
          <w:numId w:val="14"/>
        </w:numPr>
        <w:ind w:left="1080"/>
      </w:pPr>
      <w:r>
        <w:t>Due week 12 (20%)</w:t>
      </w:r>
    </w:p>
    <w:p w:rsidR="00D937CC" w:rsidRDefault="00D937CC" w:rsidP="00D937CC">
      <w:pPr>
        <w:pStyle w:val="ListParagraph"/>
        <w:numPr>
          <w:ilvl w:val="0"/>
          <w:numId w:val="14"/>
        </w:numPr>
      </w:pPr>
      <w:r>
        <w:t>Final project</w:t>
      </w:r>
    </w:p>
    <w:p w:rsidR="00D937CC" w:rsidRDefault="00D937CC" w:rsidP="00D937CC">
      <w:pPr>
        <w:pStyle w:val="ListParagraph"/>
        <w:numPr>
          <w:ilvl w:val="1"/>
          <w:numId w:val="14"/>
        </w:numPr>
        <w:ind w:left="1080"/>
      </w:pPr>
      <w:r>
        <w:t>Due finals week, by May 13 (50%)</w:t>
      </w:r>
    </w:p>
    <w:p w:rsidR="00D937CC" w:rsidRDefault="00D937CC" w:rsidP="00D937CC"/>
    <w:p w:rsidR="007B74A0" w:rsidRDefault="00D937CC" w:rsidP="00D937CC">
      <w:r>
        <w:t xml:space="preserve">There will be one multi-part project. This project will include several stages of the development of a performance assessment in the setting of the student’s choice, including specification </w:t>
      </w:r>
      <w:proofErr w:type="gramStart"/>
      <w:r>
        <w:t>of</w:t>
      </w:r>
      <w:proofErr w:type="gramEnd"/>
      <w:r w:rsidR="007B74A0">
        <w:t>:</w:t>
      </w:r>
    </w:p>
    <w:p w:rsidR="007B74A0" w:rsidRDefault="00D937CC" w:rsidP="00D937CC">
      <w:r>
        <w:t xml:space="preserve">(a) </w:t>
      </w:r>
      <w:proofErr w:type="gramStart"/>
      <w:r>
        <w:t>assessment</w:t>
      </w:r>
      <w:proofErr w:type="gramEnd"/>
      <w:r>
        <w:t xml:space="preserve"> purpose, </w:t>
      </w:r>
    </w:p>
    <w:p w:rsidR="007B74A0" w:rsidRDefault="00D937CC" w:rsidP="00D937CC">
      <w:r>
        <w:t xml:space="preserve">(b) </w:t>
      </w:r>
      <w:proofErr w:type="gramStart"/>
      <w:r>
        <w:t>domain</w:t>
      </w:r>
      <w:proofErr w:type="gramEnd"/>
      <w:r>
        <w:t xml:space="preserve"> description, </w:t>
      </w:r>
    </w:p>
    <w:p w:rsidR="007B74A0" w:rsidRDefault="00D937CC" w:rsidP="00D937CC">
      <w:r>
        <w:t xml:space="preserve">(c) </w:t>
      </w:r>
      <w:proofErr w:type="gramStart"/>
      <w:r>
        <w:t>identification</w:t>
      </w:r>
      <w:proofErr w:type="gramEnd"/>
      <w:r>
        <w:t xml:space="preserve"> of the aspects of performance that are relevant and applicable to assessment, </w:t>
      </w:r>
    </w:p>
    <w:p w:rsidR="007B74A0" w:rsidRDefault="00D937CC" w:rsidP="00D937CC">
      <w:r>
        <w:t xml:space="preserve">(d) </w:t>
      </w:r>
      <w:proofErr w:type="gramStart"/>
      <w:r>
        <w:t>detailed</w:t>
      </w:r>
      <w:proofErr w:type="gramEnd"/>
      <w:r>
        <w:t xml:space="preserve"> specifications for task development or sample tasks, </w:t>
      </w:r>
    </w:p>
    <w:p w:rsidR="007B74A0" w:rsidRDefault="00D937CC" w:rsidP="00D937CC">
      <w:r>
        <w:t xml:space="preserve">(e) </w:t>
      </w:r>
      <w:proofErr w:type="gramStart"/>
      <w:r>
        <w:t>sample</w:t>
      </w:r>
      <w:proofErr w:type="gramEnd"/>
      <w:r>
        <w:t xml:space="preserve"> rubrics, and </w:t>
      </w:r>
    </w:p>
    <w:p w:rsidR="007B74A0" w:rsidRDefault="00D937CC" w:rsidP="00D937CC">
      <w:r>
        <w:t xml:space="preserve">(f) </w:t>
      </w:r>
      <w:proofErr w:type="gramStart"/>
      <w:r>
        <w:t>initial</w:t>
      </w:r>
      <w:proofErr w:type="gramEnd"/>
      <w:r>
        <w:t xml:space="preserve"> analysis and evaluation plans</w:t>
      </w:r>
      <w:r w:rsidR="007B74A0">
        <w:t>.</w:t>
      </w:r>
    </w:p>
    <w:p w:rsidR="007B74A0" w:rsidRDefault="007B74A0" w:rsidP="00D937CC"/>
    <w:p w:rsidR="00D937CC" w:rsidRDefault="00EE64A2" w:rsidP="00D937CC">
      <w:r>
        <w:t>This project will equal 50%</w:t>
      </w:r>
      <w:r w:rsidR="00D937CC">
        <w:t xml:space="preserve"> of the total grade. </w:t>
      </w:r>
      <w:proofErr w:type="gramStart"/>
      <w:r w:rsidR="00D937CC">
        <w:t>Each phase of this project is brief and in whole will constitute a complete assessment plan.</w:t>
      </w:r>
      <w:proofErr w:type="gramEnd"/>
      <w:r w:rsidR="00D937CC">
        <w:t xml:space="preserve"> Details </w:t>
      </w:r>
      <w:proofErr w:type="gramStart"/>
      <w:r w:rsidR="00D937CC">
        <w:t>will be provided</w:t>
      </w:r>
      <w:proofErr w:type="gramEnd"/>
      <w:r w:rsidR="00D937CC">
        <w:t xml:space="preserve"> in class.</w:t>
      </w:r>
    </w:p>
    <w:p w:rsidR="00D937CC" w:rsidRDefault="00D937CC" w:rsidP="00D937CC"/>
    <w:p w:rsidR="00D937CC" w:rsidRDefault="00D937CC" w:rsidP="00D937CC">
      <w:r>
        <w:t>We will take as much time as is necessary to complete understanding of the material before we move on. There is time during each session to allow for extended time on a topic. The material is cumulative to a certain extent so it is imperative that you keep up with the workload. You are encouraged to work with a partner, as long as this works for you, and to utilize office hours to complete your understanding of the material from the moment you begin to feel uncertain. It is during these moments of uncertainty that a great deal of learning can occur.</w:t>
      </w:r>
    </w:p>
    <w:p w:rsidR="00D937CC" w:rsidRDefault="00D937CC">
      <w:r>
        <w:br w:type="page"/>
      </w:r>
    </w:p>
    <w:p w:rsidR="00D937CC" w:rsidRDefault="00D937CC" w:rsidP="00D937CC">
      <w:pPr>
        <w:pStyle w:val="NormalWeb"/>
        <w:spacing w:before="0" w:beforeAutospacing="0" w:after="120" w:afterAutospacing="0"/>
        <w:jc w:val="center"/>
      </w:pPr>
      <w:r w:rsidRPr="00C77AB6">
        <w:rPr>
          <w:b/>
        </w:rPr>
        <w:lastRenderedPageBreak/>
        <w:t>201</w:t>
      </w:r>
      <w:r>
        <w:rPr>
          <w:b/>
        </w:rPr>
        <w:t>9</w:t>
      </w:r>
      <w:r>
        <w:t xml:space="preserve"> </w:t>
      </w:r>
      <w:r w:rsidRPr="009661A4">
        <w:rPr>
          <w:b/>
        </w:rPr>
        <w:t>Performance Assessment</w:t>
      </w:r>
      <w:r>
        <w:t xml:space="preserve"> </w:t>
      </w:r>
      <w:r w:rsidRPr="00DC4834">
        <w:rPr>
          <w:b/>
        </w:rPr>
        <w:t>Schedule</w:t>
      </w:r>
    </w:p>
    <w:tbl>
      <w:tblPr>
        <w:tblW w:w="9450" w:type="dxa"/>
        <w:tblLook w:val="00A0" w:firstRow="1" w:lastRow="0" w:firstColumn="1" w:lastColumn="0" w:noHBand="0" w:noVBand="0"/>
      </w:tblPr>
      <w:tblGrid>
        <w:gridCol w:w="910"/>
        <w:gridCol w:w="5930"/>
        <w:gridCol w:w="2610"/>
      </w:tblGrid>
      <w:tr w:rsidR="00D937CC" w:rsidRPr="007A74C5" w:rsidTr="001006DA">
        <w:tc>
          <w:tcPr>
            <w:tcW w:w="910" w:type="dxa"/>
            <w:tcBorders>
              <w:top w:val="single" w:sz="4" w:space="0" w:color="auto"/>
            </w:tcBorders>
          </w:tcPr>
          <w:p w:rsidR="00D937CC" w:rsidRPr="00151867" w:rsidRDefault="003F5B24" w:rsidP="00871A3C">
            <w:pPr>
              <w:pStyle w:val="NormalWeb"/>
              <w:spacing w:before="120" w:beforeAutospacing="0" w:after="0" w:afterAutospacing="0"/>
              <w:rPr>
                <w:b/>
              </w:rPr>
            </w:pPr>
            <w:r>
              <w:rPr>
                <w:b/>
              </w:rPr>
              <w:t>Jan</w:t>
            </w:r>
            <w:r w:rsidR="00423FEB">
              <w:rPr>
                <w:b/>
              </w:rPr>
              <w:t xml:space="preserve"> 28</w:t>
            </w:r>
          </w:p>
        </w:tc>
        <w:tc>
          <w:tcPr>
            <w:tcW w:w="5930" w:type="dxa"/>
            <w:tcBorders>
              <w:top w:val="single" w:sz="4" w:space="0" w:color="auto"/>
            </w:tcBorders>
          </w:tcPr>
          <w:p w:rsidR="00D937CC" w:rsidRPr="007A74C5" w:rsidRDefault="00D937CC" w:rsidP="00871A3C">
            <w:pPr>
              <w:pStyle w:val="Header"/>
              <w:tabs>
                <w:tab w:val="clear" w:pos="4320"/>
                <w:tab w:val="clear" w:pos="8640"/>
              </w:tabs>
              <w:spacing w:before="120"/>
            </w:pPr>
            <w:r w:rsidRPr="007A74C5">
              <w:t>History of Performance Assessment</w:t>
            </w:r>
          </w:p>
        </w:tc>
        <w:tc>
          <w:tcPr>
            <w:tcW w:w="2610" w:type="dxa"/>
            <w:tcBorders>
              <w:top w:val="single" w:sz="4" w:space="0" w:color="auto"/>
            </w:tcBorders>
          </w:tcPr>
          <w:p w:rsidR="00D937CC" w:rsidRPr="007E245C" w:rsidRDefault="00D937CC" w:rsidP="00871A3C">
            <w:pPr>
              <w:pStyle w:val="Header"/>
              <w:tabs>
                <w:tab w:val="clear" w:pos="4320"/>
                <w:tab w:val="clear" w:pos="8640"/>
              </w:tabs>
              <w:spacing w:before="120"/>
              <w:jc w:val="center"/>
              <w:rPr>
                <w:b/>
              </w:rPr>
            </w:pPr>
          </w:p>
        </w:tc>
      </w:tr>
      <w:tr w:rsidR="00F23BA4" w:rsidRPr="009661A4" w:rsidTr="001006DA">
        <w:tc>
          <w:tcPr>
            <w:tcW w:w="910" w:type="dxa"/>
          </w:tcPr>
          <w:p w:rsidR="00F23BA4" w:rsidRPr="00151867" w:rsidRDefault="00F23BA4" w:rsidP="00F23BA4">
            <w:pPr>
              <w:pStyle w:val="Header"/>
              <w:tabs>
                <w:tab w:val="clear" w:pos="4320"/>
                <w:tab w:val="clear" w:pos="8640"/>
              </w:tabs>
              <w:rPr>
                <w:b/>
              </w:rPr>
            </w:pPr>
          </w:p>
        </w:tc>
        <w:tc>
          <w:tcPr>
            <w:tcW w:w="5930" w:type="dxa"/>
          </w:tcPr>
          <w:p w:rsidR="00F23BA4" w:rsidRPr="00945BD1" w:rsidRDefault="00F23BA4" w:rsidP="00F23BA4">
            <w:r w:rsidRPr="00945BD1">
              <w:t>Current uses of Performance Assessment</w:t>
            </w:r>
          </w:p>
        </w:tc>
        <w:tc>
          <w:tcPr>
            <w:tcW w:w="2610" w:type="dxa"/>
          </w:tcPr>
          <w:p w:rsidR="00F23BA4" w:rsidRPr="00455BBA" w:rsidRDefault="003570C7" w:rsidP="003570C7">
            <w:pPr>
              <w:pStyle w:val="Header"/>
              <w:tabs>
                <w:tab w:val="clear" w:pos="4320"/>
                <w:tab w:val="clear" w:pos="8640"/>
              </w:tabs>
              <w:jc w:val="center"/>
            </w:pPr>
            <w:r>
              <w:t>S</w:t>
            </w:r>
            <w:r w:rsidR="00FC4950">
              <w:t>BP</w:t>
            </w:r>
            <w:r w:rsidR="00455BBA" w:rsidRPr="00455BBA">
              <w:t>92</w:t>
            </w:r>
          </w:p>
        </w:tc>
      </w:tr>
      <w:tr w:rsidR="00F23BA4" w:rsidRPr="009661A4" w:rsidTr="001006DA">
        <w:tc>
          <w:tcPr>
            <w:tcW w:w="910" w:type="dxa"/>
          </w:tcPr>
          <w:p w:rsidR="00F23BA4" w:rsidRPr="00151867" w:rsidRDefault="00F23BA4" w:rsidP="00F23BA4">
            <w:pPr>
              <w:pStyle w:val="Header"/>
              <w:tabs>
                <w:tab w:val="clear" w:pos="4320"/>
                <w:tab w:val="clear" w:pos="8640"/>
              </w:tabs>
              <w:rPr>
                <w:b/>
              </w:rPr>
            </w:pPr>
          </w:p>
        </w:tc>
        <w:tc>
          <w:tcPr>
            <w:tcW w:w="5930" w:type="dxa"/>
          </w:tcPr>
          <w:p w:rsidR="00F23BA4" w:rsidRPr="00945BD1" w:rsidRDefault="00F23BA4" w:rsidP="00CA48E6">
            <w:pPr>
              <w:pStyle w:val="ListParagraph"/>
              <w:numPr>
                <w:ilvl w:val="1"/>
                <w:numId w:val="23"/>
              </w:numPr>
              <w:ind w:left="768"/>
            </w:pPr>
            <w:r w:rsidRPr="00945BD1">
              <w:t xml:space="preserve">Classroom </w:t>
            </w:r>
            <w:r w:rsidR="00CA48E6">
              <w:t xml:space="preserve">&amp; Large-Scale Uses </w:t>
            </w:r>
          </w:p>
        </w:tc>
        <w:tc>
          <w:tcPr>
            <w:tcW w:w="2610" w:type="dxa"/>
          </w:tcPr>
          <w:p w:rsidR="00F23BA4" w:rsidRPr="00455BBA" w:rsidRDefault="00455BBA" w:rsidP="0051298E">
            <w:pPr>
              <w:pStyle w:val="Header"/>
              <w:tabs>
                <w:tab w:val="clear" w:pos="4320"/>
                <w:tab w:val="clear" w:pos="8640"/>
              </w:tabs>
              <w:jc w:val="center"/>
            </w:pPr>
            <w:r>
              <w:t>KM</w:t>
            </w:r>
            <w:r w:rsidR="00110493">
              <w:t>96</w:t>
            </w:r>
            <w:r>
              <w:t xml:space="preserve"> </w:t>
            </w:r>
            <w:r w:rsidR="00110493">
              <w:t>(Ch.</w:t>
            </w:r>
            <w:r>
              <w:t>1</w:t>
            </w:r>
            <w:r w:rsidR="0051298E">
              <w:t>-</w:t>
            </w:r>
            <w:r>
              <w:t>2</w:t>
            </w:r>
            <w:r w:rsidR="00110493">
              <w:t>)</w:t>
            </w:r>
          </w:p>
        </w:tc>
      </w:tr>
      <w:tr w:rsidR="00F23BA4" w:rsidRPr="007A74C5" w:rsidTr="001006DA">
        <w:tc>
          <w:tcPr>
            <w:tcW w:w="910" w:type="dxa"/>
            <w:tcBorders>
              <w:top w:val="single" w:sz="4" w:space="0" w:color="auto"/>
            </w:tcBorders>
          </w:tcPr>
          <w:p w:rsidR="00F23BA4" w:rsidRPr="00151867" w:rsidRDefault="003F5B24" w:rsidP="00F23BA4">
            <w:pPr>
              <w:pStyle w:val="NormalWeb"/>
              <w:spacing w:before="120" w:beforeAutospacing="0" w:after="0" w:afterAutospacing="0"/>
              <w:rPr>
                <w:b/>
              </w:rPr>
            </w:pPr>
            <w:r>
              <w:rPr>
                <w:b/>
              </w:rPr>
              <w:t>Feb</w:t>
            </w:r>
            <w:r w:rsidR="00423FEB">
              <w:rPr>
                <w:b/>
              </w:rPr>
              <w:t xml:space="preserve"> 4</w:t>
            </w:r>
          </w:p>
        </w:tc>
        <w:tc>
          <w:tcPr>
            <w:tcW w:w="5930" w:type="dxa"/>
            <w:tcBorders>
              <w:top w:val="single" w:sz="4" w:space="0" w:color="auto"/>
            </w:tcBorders>
          </w:tcPr>
          <w:p w:rsidR="00F23BA4" w:rsidRPr="007A74C5" w:rsidRDefault="00F23BA4" w:rsidP="00F23BA4">
            <w:pPr>
              <w:tabs>
                <w:tab w:val="right" w:pos="7524"/>
              </w:tabs>
              <w:spacing w:before="120"/>
            </w:pPr>
            <w:r w:rsidRPr="007A74C5">
              <w:t>Conceptualizing the Assessment</w:t>
            </w:r>
          </w:p>
        </w:tc>
        <w:tc>
          <w:tcPr>
            <w:tcW w:w="2610" w:type="dxa"/>
            <w:tcBorders>
              <w:top w:val="single" w:sz="4" w:space="0" w:color="auto"/>
            </w:tcBorders>
          </w:tcPr>
          <w:p w:rsidR="00F23BA4" w:rsidRPr="00455BBA" w:rsidRDefault="00F23BA4" w:rsidP="003570C7">
            <w:pPr>
              <w:spacing w:before="120"/>
              <w:jc w:val="center"/>
            </w:pPr>
          </w:p>
        </w:tc>
      </w:tr>
      <w:tr w:rsidR="00F23BA4" w:rsidRPr="007A74C5" w:rsidTr="001006DA">
        <w:tc>
          <w:tcPr>
            <w:tcW w:w="910" w:type="dxa"/>
          </w:tcPr>
          <w:p w:rsidR="00F23BA4" w:rsidRPr="00151867" w:rsidRDefault="00F23BA4" w:rsidP="00F23BA4">
            <w:pPr>
              <w:rPr>
                <w:b/>
              </w:rPr>
            </w:pPr>
          </w:p>
        </w:tc>
        <w:tc>
          <w:tcPr>
            <w:tcW w:w="5930" w:type="dxa"/>
          </w:tcPr>
          <w:p w:rsidR="00F23BA4" w:rsidRPr="007A74C5" w:rsidRDefault="00F23BA4" w:rsidP="00F23BA4">
            <w:pPr>
              <w:numPr>
                <w:ilvl w:val="0"/>
                <w:numId w:val="17"/>
              </w:numPr>
            </w:pPr>
            <w:r w:rsidRPr="007A74C5">
              <w:t>Purpose and politics</w:t>
            </w:r>
          </w:p>
        </w:tc>
        <w:tc>
          <w:tcPr>
            <w:tcW w:w="2610" w:type="dxa"/>
          </w:tcPr>
          <w:p w:rsidR="00F23BA4" w:rsidRPr="00455BBA" w:rsidRDefault="003570C7" w:rsidP="003570C7">
            <w:pPr>
              <w:pStyle w:val="NormalWeb"/>
              <w:spacing w:before="0" w:beforeAutospacing="0" w:after="0" w:afterAutospacing="0"/>
              <w:jc w:val="center"/>
            </w:pPr>
            <w:r>
              <w:t xml:space="preserve">D-HA10, </w:t>
            </w:r>
            <w:r w:rsidR="00F461F4">
              <w:t>A99</w:t>
            </w:r>
          </w:p>
        </w:tc>
      </w:tr>
      <w:tr w:rsidR="00F23BA4" w:rsidRPr="007A74C5" w:rsidTr="001006DA">
        <w:tc>
          <w:tcPr>
            <w:tcW w:w="910" w:type="dxa"/>
            <w:tcBorders>
              <w:bottom w:val="single" w:sz="4" w:space="0" w:color="auto"/>
            </w:tcBorders>
          </w:tcPr>
          <w:p w:rsidR="00F23BA4" w:rsidRPr="00151867" w:rsidRDefault="00F23BA4" w:rsidP="00F23BA4">
            <w:pPr>
              <w:pStyle w:val="NormalWeb"/>
              <w:spacing w:before="0" w:beforeAutospacing="0" w:after="0" w:afterAutospacing="0"/>
              <w:rPr>
                <w:b/>
              </w:rPr>
            </w:pPr>
          </w:p>
        </w:tc>
        <w:tc>
          <w:tcPr>
            <w:tcW w:w="5930" w:type="dxa"/>
            <w:tcBorders>
              <w:bottom w:val="single" w:sz="4" w:space="0" w:color="auto"/>
            </w:tcBorders>
          </w:tcPr>
          <w:p w:rsidR="00F23BA4" w:rsidRPr="007A74C5" w:rsidRDefault="00F23BA4" w:rsidP="00F23BA4">
            <w:pPr>
              <w:numPr>
                <w:ilvl w:val="0"/>
                <w:numId w:val="17"/>
              </w:numPr>
            </w:pPr>
            <w:r w:rsidRPr="007A74C5">
              <w:t>Assessment framework and blueprint</w:t>
            </w:r>
          </w:p>
        </w:tc>
        <w:tc>
          <w:tcPr>
            <w:tcW w:w="2610" w:type="dxa"/>
            <w:tcBorders>
              <w:bottom w:val="single" w:sz="4" w:space="0" w:color="auto"/>
            </w:tcBorders>
          </w:tcPr>
          <w:p w:rsidR="00F23BA4" w:rsidRPr="00455BBA" w:rsidRDefault="003570C7" w:rsidP="00F67107">
            <w:pPr>
              <w:pStyle w:val="NormalWeb"/>
              <w:spacing w:before="0" w:beforeAutospacing="0" w:after="0" w:afterAutospacing="0"/>
              <w:jc w:val="center"/>
            </w:pPr>
            <w:r>
              <w:t>HAW92 (Ch.3)</w:t>
            </w:r>
          </w:p>
        </w:tc>
      </w:tr>
      <w:tr w:rsidR="00F23BA4" w:rsidRPr="007A74C5" w:rsidTr="001006DA">
        <w:tc>
          <w:tcPr>
            <w:tcW w:w="910" w:type="dxa"/>
            <w:tcBorders>
              <w:top w:val="single" w:sz="4" w:space="0" w:color="auto"/>
            </w:tcBorders>
          </w:tcPr>
          <w:p w:rsidR="00F23BA4" w:rsidRPr="00151867" w:rsidRDefault="00F23BA4" w:rsidP="00F23BA4">
            <w:pPr>
              <w:pStyle w:val="NormalWeb"/>
              <w:spacing w:before="120" w:beforeAutospacing="0" w:after="0" w:afterAutospacing="0"/>
              <w:rPr>
                <w:b/>
              </w:rPr>
            </w:pPr>
            <w:r>
              <w:rPr>
                <w:b/>
              </w:rPr>
              <w:t>11</w:t>
            </w:r>
          </w:p>
        </w:tc>
        <w:tc>
          <w:tcPr>
            <w:tcW w:w="5930" w:type="dxa"/>
            <w:tcBorders>
              <w:top w:val="single" w:sz="4" w:space="0" w:color="auto"/>
            </w:tcBorders>
          </w:tcPr>
          <w:p w:rsidR="00F23BA4" w:rsidRPr="007A74C5" w:rsidRDefault="00F23BA4" w:rsidP="00F23BA4">
            <w:pPr>
              <w:spacing w:before="120"/>
            </w:pPr>
            <w:r w:rsidRPr="007A74C5">
              <w:t>Design of Performance Assessment</w:t>
            </w:r>
          </w:p>
        </w:tc>
        <w:tc>
          <w:tcPr>
            <w:tcW w:w="2610" w:type="dxa"/>
            <w:tcBorders>
              <w:top w:val="single" w:sz="4" w:space="0" w:color="auto"/>
            </w:tcBorders>
          </w:tcPr>
          <w:p w:rsidR="00F23BA4" w:rsidRPr="0051298E" w:rsidRDefault="00F23BA4" w:rsidP="003570C7">
            <w:pPr>
              <w:tabs>
                <w:tab w:val="right" w:pos="7524"/>
              </w:tabs>
              <w:spacing w:before="120"/>
              <w:jc w:val="center"/>
            </w:pPr>
          </w:p>
        </w:tc>
      </w:tr>
      <w:tr w:rsidR="00E77EAD" w:rsidRPr="007A74C5" w:rsidTr="00E77EAD">
        <w:trPr>
          <w:trHeight w:val="333"/>
        </w:trPr>
        <w:tc>
          <w:tcPr>
            <w:tcW w:w="910" w:type="dxa"/>
            <w:vAlign w:val="center"/>
          </w:tcPr>
          <w:p w:rsidR="00E77EAD" w:rsidRPr="00151867" w:rsidRDefault="00E77EAD" w:rsidP="00E77EAD">
            <w:pPr>
              <w:rPr>
                <w:b/>
              </w:rPr>
            </w:pPr>
          </w:p>
        </w:tc>
        <w:tc>
          <w:tcPr>
            <w:tcW w:w="5930" w:type="dxa"/>
            <w:vAlign w:val="center"/>
          </w:tcPr>
          <w:p w:rsidR="00E77EAD" w:rsidRPr="007A74C5" w:rsidRDefault="00E77EAD" w:rsidP="00E77EAD">
            <w:pPr>
              <w:numPr>
                <w:ilvl w:val="0"/>
                <w:numId w:val="18"/>
              </w:numPr>
            </w:pPr>
            <w:r>
              <w:t xml:space="preserve">Developing tasks, </w:t>
            </w:r>
            <w:r w:rsidRPr="007A74C5">
              <w:t>prompts</w:t>
            </w:r>
            <w:r>
              <w:t>,</w:t>
            </w:r>
            <w:r w:rsidRPr="007A74C5">
              <w:t xml:space="preserve"> scoring criteria</w:t>
            </w:r>
          </w:p>
        </w:tc>
        <w:tc>
          <w:tcPr>
            <w:tcW w:w="2610" w:type="dxa"/>
            <w:vAlign w:val="center"/>
          </w:tcPr>
          <w:p w:rsidR="00E77EAD" w:rsidRPr="0051298E" w:rsidRDefault="00774D12" w:rsidP="00113351">
            <w:pPr>
              <w:tabs>
                <w:tab w:val="right" w:pos="7524"/>
              </w:tabs>
              <w:spacing w:before="120"/>
              <w:jc w:val="center"/>
            </w:pPr>
            <w:r>
              <w:t>KM96 (Ch.4), S</w:t>
            </w:r>
            <w:r w:rsidR="00113351">
              <w:t>8</w:t>
            </w:r>
            <w:bookmarkStart w:id="0" w:name="_GoBack"/>
            <w:bookmarkEnd w:id="0"/>
            <w:r w:rsidR="00E77EAD">
              <w:t>7</w:t>
            </w:r>
          </w:p>
        </w:tc>
      </w:tr>
      <w:tr w:rsidR="00E77EAD" w:rsidRPr="007A74C5" w:rsidTr="001006DA">
        <w:tc>
          <w:tcPr>
            <w:tcW w:w="910" w:type="dxa"/>
            <w:tcBorders>
              <w:bottom w:val="single" w:sz="4" w:space="0" w:color="auto"/>
            </w:tcBorders>
          </w:tcPr>
          <w:p w:rsidR="00E77EAD" w:rsidRPr="00151867" w:rsidRDefault="00E77EAD" w:rsidP="00E77EAD">
            <w:pPr>
              <w:rPr>
                <w:b/>
              </w:rPr>
            </w:pPr>
          </w:p>
        </w:tc>
        <w:tc>
          <w:tcPr>
            <w:tcW w:w="5930" w:type="dxa"/>
            <w:tcBorders>
              <w:bottom w:val="single" w:sz="4" w:space="0" w:color="auto"/>
            </w:tcBorders>
          </w:tcPr>
          <w:p w:rsidR="00E77EAD" w:rsidRPr="007A74C5" w:rsidRDefault="00E77EAD" w:rsidP="00E77EAD">
            <w:r>
              <w:rPr>
                <w:b/>
              </w:rPr>
              <w:t>(</w:t>
            </w:r>
            <w:proofErr w:type="spellStart"/>
            <w:r>
              <w:rPr>
                <w:b/>
              </w:rPr>
              <w:t>a,b</w:t>
            </w:r>
            <w:proofErr w:type="spellEnd"/>
            <w:r>
              <w:rPr>
                <w:b/>
              </w:rPr>
              <w:t>)</w:t>
            </w:r>
          </w:p>
        </w:tc>
        <w:tc>
          <w:tcPr>
            <w:tcW w:w="2610" w:type="dxa"/>
            <w:tcBorders>
              <w:bottom w:val="single" w:sz="4" w:space="0" w:color="auto"/>
            </w:tcBorders>
          </w:tcPr>
          <w:p w:rsidR="00E77EAD" w:rsidRPr="003F5B24" w:rsidRDefault="00E77EAD" w:rsidP="00E77EAD">
            <w:pPr>
              <w:jc w:val="center"/>
            </w:pPr>
            <w:r>
              <w:t>HAW92 (Ch4)</w:t>
            </w:r>
          </w:p>
        </w:tc>
      </w:tr>
      <w:tr w:rsidR="00F23BA4" w:rsidRPr="007A74C5" w:rsidTr="001006DA">
        <w:tc>
          <w:tcPr>
            <w:tcW w:w="910" w:type="dxa"/>
            <w:tcBorders>
              <w:top w:val="single" w:sz="4" w:space="0" w:color="auto"/>
            </w:tcBorders>
          </w:tcPr>
          <w:p w:rsidR="00F23BA4" w:rsidRDefault="00F23BA4" w:rsidP="00F23BA4">
            <w:pPr>
              <w:pStyle w:val="NormalWeb"/>
              <w:spacing w:before="120" w:beforeAutospacing="0" w:after="0" w:afterAutospacing="0"/>
              <w:rPr>
                <w:b/>
              </w:rPr>
            </w:pPr>
            <w:r>
              <w:rPr>
                <w:b/>
              </w:rPr>
              <w:t>18</w:t>
            </w:r>
          </w:p>
          <w:p w:rsidR="00423FEB" w:rsidRPr="00151867" w:rsidRDefault="00423FEB" w:rsidP="00F23BA4">
            <w:pPr>
              <w:pStyle w:val="NormalWeb"/>
              <w:spacing w:before="120" w:beforeAutospacing="0" w:after="0" w:afterAutospacing="0"/>
              <w:rPr>
                <w:b/>
              </w:rPr>
            </w:pPr>
          </w:p>
        </w:tc>
        <w:tc>
          <w:tcPr>
            <w:tcW w:w="5930" w:type="dxa"/>
            <w:tcBorders>
              <w:top w:val="single" w:sz="4" w:space="0" w:color="auto"/>
            </w:tcBorders>
          </w:tcPr>
          <w:p w:rsidR="00F23BA4" w:rsidRPr="00D86A86" w:rsidRDefault="00F23BA4" w:rsidP="00F23BA4">
            <w:pPr>
              <w:pStyle w:val="NormalWeb"/>
              <w:spacing w:before="120" w:beforeAutospacing="0" w:after="0" w:afterAutospacing="0"/>
              <w:rPr>
                <w:sz w:val="16"/>
                <w:szCs w:val="16"/>
              </w:rPr>
            </w:pPr>
            <w:r w:rsidRPr="007A74C5">
              <w:t>Performance Task Development Workshop</w:t>
            </w:r>
            <w:r>
              <w:br/>
            </w:r>
            <w:r w:rsidR="00E77EAD">
              <w:rPr>
                <w:b/>
              </w:rPr>
              <w:t>[1]</w:t>
            </w:r>
          </w:p>
        </w:tc>
        <w:tc>
          <w:tcPr>
            <w:tcW w:w="2610" w:type="dxa"/>
            <w:tcBorders>
              <w:top w:val="single" w:sz="4" w:space="0" w:color="auto"/>
            </w:tcBorders>
          </w:tcPr>
          <w:p w:rsidR="00F23BA4" w:rsidRPr="00D87146" w:rsidRDefault="001E1FBE" w:rsidP="00E77EAD">
            <w:pPr>
              <w:spacing w:before="120"/>
              <w:jc w:val="center"/>
            </w:pPr>
            <w:r>
              <w:t>L10</w:t>
            </w:r>
            <w:r w:rsidR="00D87146">
              <w:t xml:space="preserve"> </w:t>
            </w:r>
            <w:r>
              <w:t>(3-24)</w:t>
            </w:r>
            <w:r w:rsidR="00E77EAD">
              <w:br/>
            </w:r>
            <w:r w:rsidRPr="001E1FBE">
              <w:t>P96 (Ch.1)</w:t>
            </w:r>
            <w:r w:rsidR="00E77EAD">
              <w:t xml:space="preserve">, </w:t>
            </w:r>
            <w:r w:rsidR="00D87146">
              <w:t>B93</w:t>
            </w:r>
          </w:p>
        </w:tc>
      </w:tr>
      <w:tr w:rsidR="00F23BA4" w:rsidRPr="007A74C5" w:rsidTr="001006DA">
        <w:trPr>
          <w:trHeight w:val="557"/>
        </w:trPr>
        <w:tc>
          <w:tcPr>
            <w:tcW w:w="910" w:type="dxa"/>
            <w:tcBorders>
              <w:top w:val="single" w:sz="4" w:space="0" w:color="auto"/>
              <w:bottom w:val="single" w:sz="4" w:space="0" w:color="auto"/>
            </w:tcBorders>
          </w:tcPr>
          <w:p w:rsidR="00F23BA4" w:rsidRDefault="00F23BA4" w:rsidP="00F23BA4">
            <w:pPr>
              <w:pStyle w:val="NormalWeb"/>
              <w:spacing w:before="120" w:beforeAutospacing="0" w:after="0" w:afterAutospacing="0"/>
              <w:rPr>
                <w:b/>
              </w:rPr>
            </w:pPr>
            <w:r>
              <w:rPr>
                <w:b/>
              </w:rPr>
              <w:t>25</w:t>
            </w:r>
          </w:p>
          <w:p w:rsidR="00423FEB" w:rsidRPr="00151867" w:rsidRDefault="00423FEB" w:rsidP="00F23BA4">
            <w:pPr>
              <w:pStyle w:val="NormalWeb"/>
              <w:spacing w:before="120" w:beforeAutospacing="0" w:after="0" w:afterAutospacing="0"/>
              <w:rPr>
                <w:b/>
              </w:rPr>
            </w:pPr>
          </w:p>
        </w:tc>
        <w:tc>
          <w:tcPr>
            <w:tcW w:w="5930" w:type="dxa"/>
            <w:tcBorders>
              <w:top w:val="single" w:sz="4" w:space="0" w:color="auto"/>
              <w:bottom w:val="single" w:sz="4" w:space="0" w:color="auto"/>
            </w:tcBorders>
          </w:tcPr>
          <w:p w:rsidR="00E77EAD" w:rsidRDefault="00FC4950" w:rsidP="00FC4950">
            <w:pPr>
              <w:pStyle w:val="NormalWeb"/>
              <w:spacing w:before="120" w:beforeAutospacing="0" w:after="0" w:afterAutospacing="0"/>
            </w:pPr>
            <w:r>
              <w:t xml:space="preserve">Scoring &amp; </w:t>
            </w:r>
            <w:r w:rsidR="00F23BA4" w:rsidRPr="007A74C5">
              <w:t>Rubric Development Workshop</w:t>
            </w:r>
          </w:p>
          <w:p w:rsidR="00F23BA4" w:rsidRPr="007A74C5" w:rsidRDefault="00E77EAD" w:rsidP="00E77EAD">
            <w:pPr>
              <w:pStyle w:val="NormalWeb"/>
              <w:spacing w:before="0" w:beforeAutospacing="0" w:after="0" w:afterAutospacing="0"/>
            </w:pPr>
            <w:r>
              <w:rPr>
                <w:b/>
              </w:rPr>
              <w:t>(c)</w:t>
            </w:r>
          </w:p>
        </w:tc>
        <w:tc>
          <w:tcPr>
            <w:tcW w:w="2610" w:type="dxa"/>
            <w:tcBorders>
              <w:top w:val="single" w:sz="4" w:space="0" w:color="auto"/>
              <w:bottom w:val="single" w:sz="4" w:space="0" w:color="auto"/>
            </w:tcBorders>
          </w:tcPr>
          <w:p w:rsidR="00F23BA4" w:rsidRPr="003570C7" w:rsidRDefault="00FC4950" w:rsidP="00CA48E6">
            <w:pPr>
              <w:pStyle w:val="NormalWeb"/>
              <w:spacing w:before="120" w:beforeAutospacing="0" w:after="0" w:afterAutospacing="0"/>
              <w:jc w:val="center"/>
            </w:pPr>
            <w:r w:rsidRPr="00FC4950">
              <w:t>L10</w:t>
            </w:r>
            <w:r w:rsidR="001006DA">
              <w:t>(25-41)</w:t>
            </w:r>
            <w:r w:rsidR="00D87146">
              <w:br/>
            </w:r>
            <w:r w:rsidR="003570C7">
              <w:t>HAW92</w:t>
            </w:r>
            <w:r w:rsidR="00D87146">
              <w:t xml:space="preserve"> </w:t>
            </w:r>
            <w:r w:rsidR="003570C7">
              <w:t>(Ch.5</w:t>
            </w:r>
            <w:r w:rsidR="002340C3">
              <w:t>-6</w:t>
            </w:r>
            <w:r w:rsidR="003570C7">
              <w:t>)</w:t>
            </w:r>
          </w:p>
        </w:tc>
      </w:tr>
      <w:tr w:rsidR="00F23BA4" w:rsidRPr="007A74C5" w:rsidTr="001006DA">
        <w:tc>
          <w:tcPr>
            <w:tcW w:w="910" w:type="dxa"/>
            <w:tcBorders>
              <w:top w:val="single" w:sz="4" w:space="0" w:color="auto"/>
              <w:bottom w:val="single" w:sz="4" w:space="0" w:color="auto"/>
            </w:tcBorders>
          </w:tcPr>
          <w:p w:rsidR="00F23BA4" w:rsidRDefault="00423FEB" w:rsidP="00F23BA4">
            <w:pPr>
              <w:pStyle w:val="NormalWeb"/>
              <w:spacing w:before="120" w:beforeAutospacing="0" w:after="0" w:afterAutospacing="0"/>
              <w:rPr>
                <w:b/>
              </w:rPr>
            </w:pPr>
            <w:r>
              <w:rPr>
                <w:b/>
              </w:rPr>
              <w:t xml:space="preserve">Mar </w:t>
            </w:r>
            <w:r w:rsidR="00F23BA4">
              <w:rPr>
                <w:b/>
              </w:rPr>
              <w:t>4</w:t>
            </w:r>
          </w:p>
          <w:p w:rsidR="00423FEB" w:rsidRPr="00151867" w:rsidRDefault="00423FEB" w:rsidP="00F23BA4">
            <w:pPr>
              <w:pStyle w:val="NormalWeb"/>
              <w:spacing w:before="120" w:beforeAutospacing="0" w:after="0" w:afterAutospacing="0"/>
              <w:rPr>
                <w:b/>
              </w:rPr>
            </w:pPr>
          </w:p>
        </w:tc>
        <w:tc>
          <w:tcPr>
            <w:tcW w:w="5930" w:type="dxa"/>
            <w:tcBorders>
              <w:top w:val="single" w:sz="4" w:space="0" w:color="auto"/>
              <w:bottom w:val="single" w:sz="4" w:space="0" w:color="auto"/>
            </w:tcBorders>
          </w:tcPr>
          <w:p w:rsidR="00F23BA4" w:rsidRPr="00D86A86" w:rsidRDefault="00F23BA4" w:rsidP="00F23BA4">
            <w:pPr>
              <w:pStyle w:val="NormalWeb"/>
              <w:spacing w:before="120" w:beforeAutospacing="0" w:after="0" w:afterAutospacing="0"/>
              <w:rPr>
                <w:sz w:val="16"/>
                <w:szCs w:val="16"/>
              </w:rPr>
            </w:pPr>
            <w:r w:rsidRPr="007A74C5">
              <w:t>Portfolio Development Workshop</w:t>
            </w:r>
            <w:r w:rsidR="00E77EAD">
              <w:br/>
            </w:r>
            <w:r w:rsidR="00E77EAD">
              <w:rPr>
                <w:b/>
              </w:rPr>
              <w:t>(d)</w:t>
            </w:r>
          </w:p>
        </w:tc>
        <w:tc>
          <w:tcPr>
            <w:tcW w:w="2610" w:type="dxa"/>
            <w:tcBorders>
              <w:top w:val="single" w:sz="4" w:space="0" w:color="auto"/>
              <w:bottom w:val="single" w:sz="4" w:space="0" w:color="auto"/>
            </w:tcBorders>
          </w:tcPr>
          <w:p w:rsidR="00D87146" w:rsidRPr="00CA48E6" w:rsidRDefault="00D87146" w:rsidP="00D87146">
            <w:pPr>
              <w:pStyle w:val="NormalWeb"/>
              <w:spacing w:before="120" w:beforeAutospacing="0" w:after="0" w:afterAutospacing="0"/>
              <w:jc w:val="center"/>
            </w:pPr>
            <w:r>
              <w:t>W</w:t>
            </w:r>
            <w:r w:rsidR="00FC4950" w:rsidRPr="00FC4950">
              <w:t>R13</w:t>
            </w:r>
            <w:r>
              <w:t>, AS92</w:t>
            </w:r>
          </w:p>
        </w:tc>
      </w:tr>
      <w:tr w:rsidR="00F23BA4" w:rsidRPr="007A74C5" w:rsidTr="001006DA">
        <w:tc>
          <w:tcPr>
            <w:tcW w:w="910" w:type="dxa"/>
            <w:tcBorders>
              <w:top w:val="single" w:sz="4" w:space="0" w:color="auto"/>
            </w:tcBorders>
          </w:tcPr>
          <w:p w:rsidR="00F23BA4" w:rsidRDefault="00F23BA4" w:rsidP="0068580E">
            <w:pPr>
              <w:pStyle w:val="NormalWeb"/>
              <w:spacing w:before="120" w:beforeAutospacing="0" w:after="0" w:afterAutospacing="0"/>
              <w:rPr>
                <w:b/>
              </w:rPr>
            </w:pPr>
            <w:r>
              <w:rPr>
                <w:b/>
              </w:rPr>
              <w:t>11</w:t>
            </w:r>
          </w:p>
        </w:tc>
        <w:tc>
          <w:tcPr>
            <w:tcW w:w="5930" w:type="dxa"/>
            <w:tcBorders>
              <w:top w:val="single" w:sz="4" w:space="0" w:color="auto"/>
            </w:tcBorders>
          </w:tcPr>
          <w:p w:rsidR="00F23BA4" w:rsidRPr="007A74C5" w:rsidRDefault="00F23BA4" w:rsidP="0068580E">
            <w:pPr>
              <w:spacing w:before="120"/>
            </w:pPr>
            <w:r w:rsidRPr="007A74C5">
              <w:t>Implementation of Performance Assessment</w:t>
            </w:r>
          </w:p>
        </w:tc>
        <w:tc>
          <w:tcPr>
            <w:tcW w:w="2610" w:type="dxa"/>
            <w:tcBorders>
              <w:top w:val="single" w:sz="4" w:space="0" w:color="auto"/>
            </w:tcBorders>
          </w:tcPr>
          <w:p w:rsidR="00F23BA4" w:rsidRPr="007E245C" w:rsidRDefault="00F23BA4" w:rsidP="0068580E">
            <w:pPr>
              <w:spacing w:before="120"/>
              <w:jc w:val="center"/>
              <w:rPr>
                <w:b/>
              </w:rPr>
            </w:pPr>
          </w:p>
        </w:tc>
      </w:tr>
      <w:tr w:rsidR="00F23BA4" w:rsidRPr="007A74C5" w:rsidTr="001006DA">
        <w:tc>
          <w:tcPr>
            <w:tcW w:w="910" w:type="dxa"/>
          </w:tcPr>
          <w:p w:rsidR="00F23BA4" w:rsidRPr="00151867" w:rsidRDefault="00F23BA4" w:rsidP="0068580E">
            <w:pPr>
              <w:rPr>
                <w:b/>
              </w:rPr>
            </w:pPr>
          </w:p>
        </w:tc>
        <w:tc>
          <w:tcPr>
            <w:tcW w:w="5930" w:type="dxa"/>
          </w:tcPr>
          <w:p w:rsidR="00F23BA4" w:rsidRPr="007A74C5" w:rsidRDefault="00F23BA4" w:rsidP="0068580E">
            <w:pPr>
              <w:numPr>
                <w:ilvl w:val="0"/>
                <w:numId w:val="19"/>
              </w:numPr>
            </w:pPr>
            <w:r w:rsidRPr="007A74C5">
              <w:t>Pilot procedures</w:t>
            </w:r>
            <w:r w:rsidR="00E77EAD">
              <w:t>, standardizing administration</w:t>
            </w:r>
          </w:p>
        </w:tc>
        <w:tc>
          <w:tcPr>
            <w:tcW w:w="2610" w:type="dxa"/>
          </w:tcPr>
          <w:p w:rsidR="00F23BA4" w:rsidRPr="0051298E" w:rsidRDefault="0051298E" w:rsidP="0051298E">
            <w:pPr>
              <w:jc w:val="center"/>
            </w:pPr>
            <w:r>
              <w:t>K</w:t>
            </w:r>
            <w:r w:rsidRPr="0051298E">
              <w:t>M</w:t>
            </w:r>
            <w:r w:rsidR="003570C7">
              <w:t>96</w:t>
            </w:r>
            <w:r w:rsidRPr="0051298E">
              <w:t xml:space="preserve"> </w:t>
            </w:r>
            <w:r w:rsidR="003570C7">
              <w:t>(Ch.</w:t>
            </w:r>
            <w:r>
              <w:t>6-8</w:t>
            </w:r>
            <w:r w:rsidR="003570C7">
              <w:t>)</w:t>
            </w:r>
          </w:p>
        </w:tc>
      </w:tr>
      <w:tr w:rsidR="00F23BA4" w:rsidRPr="007A74C5" w:rsidTr="001006DA">
        <w:tc>
          <w:tcPr>
            <w:tcW w:w="910" w:type="dxa"/>
            <w:tcBorders>
              <w:bottom w:val="single" w:sz="4" w:space="0" w:color="auto"/>
            </w:tcBorders>
          </w:tcPr>
          <w:p w:rsidR="00F23BA4" w:rsidRPr="00151867" w:rsidRDefault="00F23BA4" w:rsidP="0068580E">
            <w:pPr>
              <w:rPr>
                <w:b/>
              </w:rPr>
            </w:pPr>
          </w:p>
        </w:tc>
        <w:tc>
          <w:tcPr>
            <w:tcW w:w="5930" w:type="dxa"/>
            <w:tcBorders>
              <w:bottom w:val="single" w:sz="4" w:space="0" w:color="auto"/>
            </w:tcBorders>
          </w:tcPr>
          <w:p w:rsidR="00F23BA4" w:rsidRPr="007A74C5" w:rsidRDefault="00E77EAD" w:rsidP="00E77EAD">
            <w:r>
              <w:rPr>
                <w:b/>
              </w:rPr>
              <w:t>(e)</w:t>
            </w:r>
          </w:p>
        </w:tc>
        <w:tc>
          <w:tcPr>
            <w:tcW w:w="2610" w:type="dxa"/>
            <w:tcBorders>
              <w:bottom w:val="single" w:sz="4" w:space="0" w:color="auto"/>
            </w:tcBorders>
          </w:tcPr>
          <w:p w:rsidR="00F23BA4" w:rsidRPr="00F67107" w:rsidRDefault="00F67107" w:rsidP="0068580E">
            <w:pPr>
              <w:jc w:val="center"/>
            </w:pPr>
            <w:r w:rsidRPr="00F67107">
              <w:t>P96 (Ch.5)</w:t>
            </w:r>
          </w:p>
        </w:tc>
      </w:tr>
      <w:tr w:rsidR="00F23BA4" w:rsidRPr="007A74C5" w:rsidTr="001006DA">
        <w:tc>
          <w:tcPr>
            <w:tcW w:w="910" w:type="dxa"/>
            <w:tcBorders>
              <w:top w:val="single" w:sz="4" w:space="0" w:color="auto"/>
              <w:bottom w:val="single" w:sz="4" w:space="0" w:color="auto"/>
            </w:tcBorders>
            <w:shd w:val="clear" w:color="auto" w:fill="F2F2F2" w:themeFill="background1" w:themeFillShade="F2"/>
          </w:tcPr>
          <w:p w:rsidR="00F23BA4" w:rsidRPr="00151867" w:rsidRDefault="00F23BA4" w:rsidP="00F23BA4">
            <w:pPr>
              <w:pStyle w:val="NormalWeb"/>
              <w:spacing w:before="120" w:beforeAutospacing="0" w:after="0" w:afterAutospacing="0"/>
              <w:rPr>
                <w:b/>
              </w:rPr>
            </w:pPr>
            <w:r>
              <w:rPr>
                <w:b/>
              </w:rPr>
              <w:t>18</w:t>
            </w:r>
          </w:p>
        </w:tc>
        <w:tc>
          <w:tcPr>
            <w:tcW w:w="5930" w:type="dxa"/>
            <w:tcBorders>
              <w:top w:val="single" w:sz="4" w:space="0" w:color="auto"/>
              <w:bottom w:val="single" w:sz="4" w:space="0" w:color="auto"/>
            </w:tcBorders>
            <w:shd w:val="clear" w:color="auto" w:fill="F2F2F2" w:themeFill="background1" w:themeFillShade="F2"/>
          </w:tcPr>
          <w:p w:rsidR="00F23BA4" w:rsidRPr="007A74C5" w:rsidRDefault="00F23BA4" w:rsidP="00F23BA4">
            <w:pPr>
              <w:spacing w:before="120"/>
            </w:pPr>
            <w:r w:rsidRPr="00D86A86">
              <w:rPr>
                <w:i/>
              </w:rPr>
              <w:t>SPRING BREAK</w:t>
            </w:r>
          </w:p>
        </w:tc>
        <w:tc>
          <w:tcPr>
            <w:tcW w:w="2610" w:type="dxa"/>
            <w:tcBorders>
              <w:top w:val="single" w:sz="4" w:space="0" w:color="auto"/>
              <w:bottom w:val="single" w:sz="4" w:space="0" w:color="auto"/>
            </w:tcBorders>
            <w:shd w:val="clear" w:color="auto" w:fill="F2F2F2" w:themeFill="background1" w:themeFillShade="F2"/>
          </w:tcPr>
          <w:p w:rsidR="00F23BA4" w:rsidRPr="007E245C" w:rsidRDefault="00F23BA4" w:rsidP="00F23BA4">
            <w:pPr>
              <w:spacing w:before="120"/>
              <w:jc w:val="center"/>
              <w:rPr>
                <w:b/>
              </w:rPr>
            </w:pPr>
          </w:p>
        </w:tc>
      </w:tr>
      <w:tr w:rsidR="00F23BA4" w:rsidRPr="007A74C5" w:rsidTr="001006DA">
        <w:trPr>
          <w:trHeight w:val="422"/>
        </w:trPr>
        <w:tc>
          <w:tcPr>
            <w:tcW w:w="910" w:type="dxa"/>
            <w:tcBorders>
              <w:top w:val="single" w:sz="4" w:space="0" w:color="auto"/>
            </w:tcBorders>
          </w:tcPr>
          <w:p w:rsidR="00F23BA4" w:rsidRDefault="00F23BA4" w:rsidP="00F23BA4">
            <w:pPr>
              <w:pStyle w:val="NormalWeb"/>
              <w:spacing w:before="120" w:beforeAutospacing="0" w:after="0" w:afterAutospacing="0"/>
              <w:rPr>
                <w:b/>
              </w:rPr>
            </w:pPr>
            <w:r>
              <w:rPr>
                <w:b/>
              </w:rPr>
              <w:t>25</w:t>
            </w:r>
          </w:p>
        </w:tc>
        <w:tc>
          <w:tcPr>
            <w:tcW w:w="5930" w:type="dxa"/>
            <w:tcBorders>
              <w:top w:val="single" w:sz="4" w:space="0" w:color="auto"/>
            </w:tcBorders>
          </w:tcPr>
          <w:p w:rsidR="00F23BA4" w:rsidRPr="007A74C5" w:rsidRDefault="00F23BA4" w:rsidP="00F23BA4">
            <w:pPr>
              <w:spacing w:before="120"/>
            </w:pPr>
            <w:r w:rsidRPr="007A74C5">
              <w:t>Optimizing Measurement Procedures Psychometrically</w:t>
            </w:r>
          </w:p>
        </w:tc>
        <w:tc>
          <w:tcPr>
            <w:tcW w:w="2610" w:type="dxa"/>
            <w:tcBorders>
              <w:top w:val="single" w:sz="4" w:space="0" w:color="auto"/>
            </w:tcBorders>
          </w:tcPr>
          <w:p w:rsidR="00F23BA4" w:rsidRPr="0051298E" w:rsidRDefault="001006DA" w:rsidP="003570C7">
            <w:pPr>
              <w:spacing w:before="120"/>
              <w:jc w:val="center"/>
            </w:pPr>
            <w:r>
              <w:t>K</w:t>
            </w:r>
            <w:r w:rsidR="00FC4950">
              <w:t>C</w:t>
            </w:r>
            <w:r w:rsidR="0051298E" w:rsidRPr="0051298E">
              <w:t>C99</w:t>
            </w:r>
            <w:r>
              <w:t>, ACT97</w:t>
            </w:r>
          </w:p>
        </w:tc>
      </w:tr>
      <w:tr w:rsidR="00550F35" w:rsidRPr="007A74C5" w:rsidTr="00E77EAD">
        <w:trPr>
          <w:trHeight w:val="585"/>
        </w:trPr>
        <w:tc>
          <w:tcPr>
            <w:tcW w:w="910" w:type="dxa"/>
          </w:tcPr>
          <w:p w:rsidR="00550F35" w:rsidRDefault="00550F35" w:rsidP="00550F35">
            <w:pPr>
              <w:pStyle w:val="NormalWeb"/>
              <w:spacing w:before="120" w:beforeAutospacing="0" w:after="0" w:afterAutospacing="0"/>
              <w:rPr>
                <w:b/>
              </w:rPr>
            </w:pPr>
          </w:p>
        </w:tc>
        <w:tc>
          <w:tcPr>
            <w:tcW w:w="5930" w:type="dxa"/>
            <w:vAlign w:val="center"/>
          </w:tcPr>
          <w:p w:rsidR="00550F35" w:rsidRPr="007A74C5" w:rsidRDefault="00550F35" w:rsidP="00550F35">
            <w:pPr>
              <w:numPr>
                <w:ilvl w:val="0"/>
                <w:numId w:val="21"/>
              </w:numPr>
            </w:pPr>
            <w:r>
              <w:t>Evaluating psychometric quality</w:t>
            </w:r>
          </w:p>
        </w:tc>
        <w:tc>
          <w:tcPr>
            <w:tcW w:w="2610" w:type="dxa"/>
          </w:tcPr>
          <w:p w:rsidR="00550F35" w:rsidRPr="00F461F4" w:rsidRDefault="001006DA" w:rsidP="00E77EAD">
            <w:pPr>
              <w:jc w:val="center"/>
            </w:pPr>
            <w:r>
              <w:t>L</w:t>
            </w:r>
            <w:r w:rsidR="00F67107">
              <w:t>10</w:t>
            </w:r>
            <w:r>
              <w:t>(42-58)</w:t>
            </w:r>
            <w:r w:rsidR="00D87146">
              <w:br/>
            </w:r>
            <w:r w:rsidR="00F67107">
              <w:t>HAW92</w:t>
            </w:r>
            <w:r w:rsidR="00D87146">
              <w:t xml:space="preserve"> </w:t>
            </w:r>
            <w:r w:rsidR="00F67107">
              <w:t>(Ch.6)</w:t>
            </w:r>
          </w:p>
        </w:tc>
      </w:tr>
      <w:tr w:rsidR="00550F35" w:rsidRPr="007A74C5" w:rsidTr="001006DA">
        <w:tc>
          <w:tcPr>
            <w:tcW w:w="910" w:type="dxa"/>
            <w:tcBorders>
              <w:bottom w:val="single" w:sz="4" w:space="0" w:color="auto"/>
            </w:tcBorders>
          </w:tcPr>
          <w:p w:rsidR="00550F35" w:rsidRPr="00151867" w:rsidRDefault="00550F35" w:rsidP="00550F35">
            <w:pPr>
              <w:rPr>
                <w:b/>
              </w:rPr>
            </w:pPr>
          </w:p>
        </w:tc>
        <w:tc>
          <w:tcPr>
            <w:tcW w:w="5930" w:type="dxa"/>
            <w:tcBorders>
              <w:bottom w:val="single" w:sz="4" w:space="0" w:color="auto"/>
            </w:tcBorders>
          </w:tcPr>
          <w:p w:rsidR="00550F35" w:rsidRPr="007A74C5" w:rsidRDefault="00550F35" w:rsidP="00550F35">
            <w:pPr>
              <w:numPr>
                <w:ilvl w:val="0"/>
                <w:numId w:val="21"/>
              </w:numPr>
            </w:pPr>
            <w:r w:rsidRPr="007A74C5">
              <w:t xml:space="preserve">Generalizability </w:t>
            </w:r>
            <w:r>
              <w:t>&amp; Dependability of Measurements</w:t>
            </w:r>
          </w:p>
        </w:tc>
        <w:tc>
          <w:tcPr>
            <w:tcW w:w="2610" w:type="dxa"/>
            <w:tcBorders>
              <w:bottom w:val="single" w:sz="4" w:space="0" w:color="auto"/>
            </w:tcBorders>
          </w:tcPr>
          <w:p w:rsidR="00550F35" w:rsidRPr="00F67107" w:rsidRDefault="00F67107" w:rsidP="00F67107">
            <w:pPr>
              <w:spacing w:before="120"/>
              <w:jc w:val="center"/>
            </w:pPr>
            <w:r>
              <w:t>P96 (Ch.2</w:t>
            </w:r>
            <w:r w:rsidRPr="00F67107">
              <w:t>)</w:t>
            </w:r>
          </w:p>
        </w:tc>
      </w:tr>
      <w:tr w:rsidR="00550F35" w:rsidRPr="007A74C5" w:rsidTr="001006DA">
        <w:tc>
          <w:tcPr>
            <w:tcW w:w="910" w:type="dxa"/>
            <w:tcBorders>
              <w:top w:val="single" w:sz="4" w:space="0" w:color="auto"/>
            </w:tcBorders>
          </w:tcPr>
          <w:p w:rsidR="00550F35" w:rsidRDefault="00423FEB" w:rsidP="00550F35">
            <w:pPr>
              <w:pStyle w:val="NormalWeb"/>
              <w:spacing w:before="120" w:beforeAutospacing="0" w:after="0" w:afterAutospacing="0"/>
              <w:rPr>
                <w:b/>
              </w:rPr>
            </w:pPr>
            <w:r>
              <w:rPr>
                <w:b/>
              </w:rPr>
              <w:t xml:space="preserve">Apr </w:t>
            </w:r>
            <w:r w:rsidR="00550F35">
              <w:rPr>
                <w:b/>
              </w:rPr>
              <w:t>1</w:t>
            </w:r>
          </w:p>
          <w:p w:rsidR="00423FEB" w:rsidRPr="00151867" w:rsidRDefault="00423FEB" w:rsidP="00550F35">
            <w:pPr>
              <w:pStyle w:val="NormalWeb"/>
              <w:spacing w:before="120" w:beforeAutospacing="0" w:after="0" w:afterAutospacing="0"/>
              <w:rPr>
                <w:b/>
              </w:rPr>
            </w:pPr>
          </w:p>
        </w:tc>
        <w:tc>
          <w:tcPr>
            <w:tcW w:w="5930" w:type="dxa"/>
            <w:tcBorders>
              <w:top w:val="single" w:sz="4" w:space="0" w:color="auto"/>
            </w:tcBorders>
          </w:tcPr>
          <w:p w:rsidR="00550F35" w:rsidRPr="00DC4834" w:rsidRDefault="00550F35" w:rsidP="00550F35">
            <w:pPr>
              <w:pStyle w:val="NormalWeb"/>
              <w:spacing w:before="120" w:beforeAutospacing="0" w:after="0" w:afterAutospacing="0"/>
              <w:rPr>
                <w:i/>
              </w:rPr>
            </w:pPr>
            <w:r w:rsidRPr="007A74C5">
              <w:t>Quantitative Analysis of Performance Scores</w:t>
            </w:r>
            <w:r w:rsidR="00E77EAD">
              <w:br/>
            </w:r>
            <w:r w:rsidR="00E77EAD">
              <w:rPr>
                <w:b/>
              </w:rPr>
              <w:t>[2]</w:t>
            </w:r>
          </w:p>
        </w:tc>
        <w:tc>
          <w:tcPr>
            <w:tcW w:w="2610" w:type="dxa"/>
            <w:tcBorders>
              <w:top w:val="single" w:sz="4" w:space="0" w:color="auto"/>
            </w:tcBorders>
          </w:tcPr>
          <w:p w:rsidR="00550F35" w:rsidRPr="007E245C" w:rsidRDefault="00550F35" w:rsidP="00550F35">
            <w:pPr>
              <w:spacing w:before="120"/>
              <w:jc w:val="center"/>
              <w:rPr>
                <w:b/>
              </w:rPr>
            </w:pPr>
          </w:p>
        </w:tc>
      </w:tr>
      <w:tr w:rsidR="00550F35" w:rsidRPr="007A74C5" w:rsidTr="001006DA">
        <w:tc>
          <w:tcPr>
            <w:tcW w:w="910" w:type="dxa"/>
            <w:tcBorders>
              <w:top w:val="single" w:sz="4" w:space="0" w:color="auto"/>
              <w:bottom w:val="single" w:sz="4" w:space="0" w:color="auto"/>
            </w:tcBorders>
            <w:shd w:val="clear" w:color="auto" w:fill="F2F2F2" w:themeFill="background1" w:themeFillShade="F2"/>
          </w:tcPr>
          <w:p w:rsidR="00550F35" w:rsidRPr="00151867" w:rsidRDefault="00550F35" w:rsidP="00550F35">
            <w:pPr>
              <w:pStyle w:val="NormalWeb"/>
              <w:spacing w:before="120" w:beforeAutospacing="0" w:after="0" w:afterAutospacing="0"/>
              <w:rPr>
                <w:b/>
              </w:rPr>
            </w:pPr>
            <w:r>
              <w:rPr>
                <w:b/>
              </w:rPr>
              <w:t>8</w:t>
            </w:r>
          </w:p>
        </w:tc>
        <w:tc>
          <w:tcPr>
            <w:tcW w:w="5930" w:type="dxa"/>
            <w:tcBorders>
              <w:top w:val="single" w:sz="4" w:space="0" w:color="auto"/>
              <w:bottom w:val="single" w:sz="4" w:space="0" w:color="auto"/>
            </w:tcBorders>
            <w:shd w:val="clear" w:color="auto" w:fill="F2F2F2" w:themeFill="background1" w:themeFillShade="F2"/>
          </w:tcPr>
          <w:p w:rsidR="00550F35" w:rsidRPr="007A74C5" w:rsidRDefault="00670F98" w:rsidP="00550F35">
            <w:pPr>
              <w:pStyle w:val="NormalWeb"/>
              <w:spacing w:before="120" w:beforeAutospacing="0" w:after="0" w:afterAutospacing="0"/>
            </w:pPr>
            <w:r>
              <w:rPr>
                <w:i/>
              </w:rPr>
              <w:t xml:space="preserve">AERA &amp; </w:t>
            </w:r>
            <w:r w:rsidR="00550F35">
              <w:rPr>
                <w:i/>
              </w:rPr>
              <w:t>NCME – No Class</w:t>
            </w:r>
          </w:p>
        </w:tc>
        <w:tc>
          <w:tcPr>
            <w:tcW w:w="2610" w:type="dxa"/>
            <w:tcBorders>
              <w:top w:val="single" w:sz="4" w:space="0" w:color="auto"/>
              <w:bottom w:val="single" w:sz="4" w:space="0" w:color="auto"/>
            </w:tcBorders>
            <w:shd w:val="clear" w:color="auto" w:fill="F2F2F2" w:themeFill="background1" w:themeFillShade="F2"/>
          </w:tcPr>
          <w:p w:rsidR="00550F35" w:rsidRPr="007E245C" w:rsidRDefault="00550F35" w:rsidP="00550F35">
            <w:pPr>
              <w:pStyle w:val="NormalWeb"/>
              <w:spacing w:before="120" w:beforeAutospacing="0" w:after="0" w:afterAutospacing="0"/>
              <w:jc w:val="center"/>
              <w:rPr>
                <w:b/>
              </w:rPr>
            </w:pPr>
          </w:p>
        </w:tc>
      </w:tr>
      <w:tr w:rsidR="00550F35" w:rsidRPr="007A74C5" w:rsidTr="001006DA">
        <w:tc>
          <w:tcPr>
            <w:tcW w:w="910" w:type="dxa"/>
            <w:tcBorders>
              <w:top w:val="single" w:sz="4" w:space="0" w:color="auto"/>
              <w:bottom w:val="single" w:sz="4" w:space="0" w:color="auto"/>
            </w:tcBorders>
          </w:tcPr>
          <w:p w:rsidR="00550F35" w:rsidRPr="00151867" w:rsidRDefault="00550F35" w:rsidP="00550F35">
            <w:pPr>
              <w:pStyle w:val="NormalWeb"/>
              <w:spacing w:before="120" w:beforeAutospacing="0" w:after="0" w:afterAutospacing="0"/>
              <w:rPr>
                <w:b/>
              </w:rPr>
            </w:pPr>
            <w:r>
              <w:rPr>
                <w:b/>
              </w:rPr>
              <w:t>15</w:t>
            </w:r>
          </w:p>
        </w:tc>
        <w:tc>
          <w:tcPr>
            <w:tcW w:w="5930" w:type="dxa"/>
            <w:tcBorders>
              <w:top w:val="single" w:sz="4" w:space="0" w:color="auto"/>
              <w:bottom w:val="single" w:sz="4" w:space="0" w:color="auto"/>
            </w:tcBorders>
          </w:tcPr>
          <w:p w:rsidR="00550F35" w:rsidRPr="007A74C5" w:rsidRDefault="00550F35" w:rsidP="00550F35">
            <w:pPr>
              <w:pStyle w:val="NormalWeb"/>
              <w:spacing w:before="120" w:beforeAutospacing="0" w:after="0" w:afterAutospacing="0"/>
            </w:pPr>
            <w:r w:rsidRPr="00F41467">
              <w:t>Data Analysis Options in Practice</w:t>
            </w:r>
          </w:p>
        </w:tc>
        <w:tc>
          <w:tcPr>
            <w:tcW w:w="2610" w:type="dxa"/>
            <w:tcBorders>
              <w:top w:val="single" w:sz="4" w:space="0" w:color="auto"/>
              <w:bottom w:val="single" w:sz="4" w:space="0" w:color="auto"/>
            </w:tcBorders>
          </w:tcPr>
          <w:p w:rsidR="00550F35" w:rsidRPr="0051298E" w:rsidRDefault="00D87146" w:rsidP="00550F35">
            <w:pPr>
              <w:pStyle w:val="NormalWeb"/>
              <w:spacing w:before="120" w:beforeAutospacing="0" w:after="0" w:afterAutospacing="0"/>
              <w:jc w:val="center"/>
            </w:pPr>
            <w:r>
              <w:t>K</w:t>
            </w:r>
            <w:r w:rsidR="0051298E" w:rsidRPr="0051298E">
              <w:t>M</w:t>
            </w:r>
            <w:r w:rsidR="003570C7">
              <w:t>96</w:t>
            </w:r>
            <w:r w:rsidR="0051298E" w:rsidRPr="0051298E">
              <w:t xml:space="preserve"> </w:t>
            </w:r>
            <w:r w:rsidR="003570C7">
              <w:t>(Ch.</w:t>
            </w:r>
            <w:r w:rsidR="0051298E" w:rsidRPr="0051298E">
              <w:t>10</w:t>
            </w:r>
            <w:r w:rsidR="003570C7">
              <w:t>)</w:t>
            </w:r>
          </w:p>
        </w:tc>
      </w:tr>
      <w:tr w:rsidR="00550F35" w:rsidRPr="007A74C5" w:rsidTr="001006DA">
        <w:trPr>
          <w:trHeight w:val="593"/>
        </w:trPr>
        <w:tc>
          <w:tcPr>
            <w:tcW w:w="910" w:type="dxa"/>
            <w:tcBorders>
              <w:top w:val="single" w:sz="4" w:space="0" w:color="auto"/>
              <w:bottom w:val="single" w:sz="4" w:space="0" w:color="auto"/>
            </w:tcBorders>
          </w:tcPr>
          <w:p w:rsidR="00550F35" w:rsidRPr="00151867" w:rsidRDefault="00550F35" w:rsidP="00550F35">
            <w:pPr>
              <w:pStyle w:val="NormalWeb"/>
              <w:spacing w:before="120" w:beforeAutospacing="0" w:after="0" w:afterAutospacing="0"/>
              <w:rPr>
                <w:b/>
              </w:rPr>
            </w:pPr>
            <w:r>
              <w:rPr>
                <w:b/>
              </w:rPr>
              <w:t>22</w:t>
            </w:r>
          </w:p>
        </w:tc>
        <w:tc>
          <w:tcPr>
            <w:tcW w:w="5930" w:type="dxa"/>
            <w:tcBorders>
              <w:top w:val="single" w:sz="4" w:space="0" w:color="auto"/>
              <w:bottom w:val="single" w:sz="4" w:space="0" w:color="auto"/>
            </w:tcBorders>
          </w:tcPr>
          <w:p w:rsidR="00550F35" w:rsidRPr="007A74C5" w:rsidRDefault="00550F35" w:rsidP="00550F35">
            <w:pPr>
              <w:pStyle w:val="NormalWeb"/>
              <w:spacing w:before="120" w:beforeAutospacing="0" w:after="0" w:afterAutospacing="0"/>
            </w:pPr>
            <w:r>
              <w:t>Student Presentations</w:t>
            </w:r>
            <w:r w:rsidR="00E77EAD">
              <w:t xml:space="preserve"> </w:t>
            </w:r>
            <w:r w:rsidR="00E77EAD" w:rsidRPr="007E245C">
              <w:rPr>
                <w:b/>
              </w:rPr>
              <w:t>[3]</w:t>
            </w:r>
          </w:p>
        </w:tc>
        <w:tc>
          <w:tcPr>
            <w:tcW w:w="2610" w:type="dxa"/>
            <w:tcBorders>
              <w:top w:val="single" w:sz="4" w:space="0" w:color="auto"/>
              <w:bottom w:val="single" w:sz="4" w:space="0" w:color="auto"/>
            </w:tcBorders>
          </w:tcPr>
          <w:p w:rsidR="00550F35" w:rsidRPr="007E245C" w:rsidRDefault="00550F35" w:rsidP="00550F35">
            <w:pPr>
              <w:pStyle w:val="NormalWeb"/>
              <w:spacing w:before="120" w:beforeAutospacing="0" w:after="0" w:afterAutospacing="0"/>
              <w:jc w:val="center"/>
              <w:rPr>
                <w:b/>
              </w:rPr>
            </w:pPr>
          </w:p>
        </w:tc>
      </w:tr>
      <w:tr w:rsidR="00550F35" w:rsidRPr="007A74C5" w:rsidTr="001006DA">
        <w:tc>
          <w:tcPr>
            <w:tcW w:w="910" w:type="dxa"/>
            <w:tcBorders>
              <w:top w:val="single" w:sz="4" w:space="0" w:color="auto"/>
              <w:bottom w:val="single" w:sz="4" w:space="0" w:color="auto"/>
            </w:tcBorders>
          </w:tcPr>
          <w:p w:rsidR="00550F35" w:rsidRPr="00151867" w:rsidRDefault="00550F35" w:rsidP="00550F35">
            <w:pPr>
              <w:pStyle w:val="NormalWeb"/>
              <w:spacing w:before="120" w:beforeAutospacing="0" w:after="0" w:afterAutospacing="0"/>
              <w:rPr>
                <w:b/>
              </w:rPr>
            </w:pPr>
            <w:r w:rsidRPr="00151867">
              <w:rPr>
                <w:b/>
              </w:rPr>
              <w:t>2</w:t>
            </w:r>
            <w:r>
              <w:rPr>
                <w:b/>
              </w:rPr>
              <w:t>9</w:t>
            </w:r>
          </w:p>
        </w:tc>
        <w:tc>
          <w:tcPr>
            <w:tcW w:w="5930" w:type="dxa"/>
            <w:tcBorders>
              <w:top w:val="single" w:sz="4" w:space="0" w:color="auto"/>
              <w:bottom w:val="single" w:sz="4" w:space="0" w:color="auto"/>
            </w:tcBorders>
          </w:tcPr>
          <w:p w:rsidR="00550F35" w:rsidRPr="00D86A86" w:rsidRDefault="00550F35" w:rsidP="00550F35">
            <w:pPr>
              <w:pStyle w:val="NormalWeb"/>
              <w:spacing w:before="120" w:beforeAutospacing="0" w:after="0" w:afterAutospacing="0"/>
              <w:rPr>
                <w:sz w:val="16"/>
                <w:szCs w:val="16"/>
              </w:rPr>
            </w:pPr>
            <w:r w:rsidRPr="007A74C5">
              <w:t>Student Presentations</w:t>
            </w:r>
            <w:r w:rsidR="00E77EAD">
              <w:t xml:space="preserve"> </w:t>
            </w:r>
            <w:r w:rsidR="00E77EAD" w:rsidRPr="007E245C">
              <w:rPr>
                <w:b/>
              </w:rPr>
              <w:t>(f)</w:t>
            </w:r>
            <w:r>
              <w:br/>
            </w:r>
          </w:p>
        </w:tc>
        <w:tc>
          <w:tcPr>
            <w:tcW w:w="2610" w:type="dxa"/>
            <w:tcBorders>
              <w:top w:val="single" w:sz="4" w:space="0" w:color="auto"/>
              <w:bottom w:val="single" w:sz="4" w:space="0" w:color="auto"/>
            </w:tcBorders>
          </w:tcPr>
          <w:p w:rsidR="00550F35" w:rsidRPr="007E245C" w:rsidRDefault="00550F35" w:rsidP="00550F35">
            <w:pPr>
              <w:pStyle w:val="NormalWeb"/>
              <w:spacing w:before="120" w:beforeAutospacing="0" w:after="0" w:afterAutospacing="0"/>
              <w:jc w:val="center"/>
              <w:rPr>
                <w:b/>
              </w:rPr>
            </w:pPr>
          </w:p>
        </w:tc>
      </w:tr>
      <w:tr w:rsidR="00550F35" w:rsidRPr="007A74C5" w:rsidTr="001006DA">
        <w:tc>
          <w:tcPr>
            <w:tcW w:w="910" w:type="dxa"/>
            <w:tcBorders>
              <w:top w:val="single" w:sz="4" w:space="0" w:color="auto"/>
              <w:bottom w:val="single" w:sz="4" w:space="0" w:color="auto"/>
            </w:tcBorders>
          </w:tcPr>
          <w:p w:rsidR="00550F35" w:rsidRPr="00151867" w:rsidRDefault="00550F35" w:rsidP="00CA48E6">
            <w:pPr>
              <w:pStyle w:val="NormalWeb"/>
              <w:spacing w:before="120" w:beforeAutospacing="0" w:after="0" w:afterAutospacing="0"/>
              <w:rPr>
                <w:b/>
              </w:rPr>
            </w:pPr>
            <w:r>
              <w:rPr>
                <w:b/>
              </w:rPr>
              <w:t>May</w:t>
            </w:r>
            <w:r w:rsidR="00CA48E6">
              <w:rPr>
                <w:b/>
              </w:rPr>
              <w:t xml:space="preserve"> </w:t>
            </w:r>
            <w:r>
              <w:rPr>
                <w:b/>
              </w:rPr>
              <w:t>6</w:t>
            </w:r>
          </w:p>
        </w:tc>
        <w:tc>
          <w:tcPr>
            <w:tcW w:w="5930" w:type="dxa"/>
            <w:tcBorders>
              <w:top w:val="single" w:sz="4" w:space="0" w:color="auto"/>
              <w:bottom w:val="single" w:sz="4" w:space="0" w:color="auto"/>
            </w:tcBorders>
          </w:tcPr>
          <w:p w:rsidR="00550F35" w:rsidRPr="00D86A86" w:rsidRDefault="00550F35" w:rsidP="00550F35">
            <w:pPr>
              <w:pStyle w:val="NormalWeb"/>
              <w:spacing w:before="120" w:beforeAutospacing="0" w:after="0" w:afterAutospacing="0"/>
              <w:rPr>
                <w:sz w:val="16"/>
                <w:szCs w:val="16"/>
              </w:rPr>
            </w:pPr>
            <w:r w:rsidRPr="007A74C5">
              <w:t>Student Presentations</w:t>
            </w:r>
            <w:r w:rsidR="00E77EAD">
              <w:t xml:space="preserve"> </w:t>
            </w:r>
            <w:r w:rsidR="00E77EAD">
              <w:rPr>
                <w:b/>
              </w:rPr>
              <w:t>[4]</w:t>
            </w:r>
            <w:r>
              <w:br/>
            </w:r>
          </w:p>
        </w:tc>
        <w:tc>
          <w:tcPr>
            <w:tcW w:w="2610" w:type="dxa"/>
            <w:tcBorders>
              <w:top w:val="single" w:sz="4" w:space="0" w:color="auto"/>
              <w:bottom w:val="single" w:sz="4" w:space="0" w:color="auto"/>
            </w:tcBorders>
          </w:tcPr>
          <w:p w:rsidR="00550F35" w:rsidRPr="007E245C" w:rsidRDefault="00550F35" w:rsidP="00550F35">
            <w:pPr>
              <w:pStyle w:val="NormalWeb"/>
              <w:spacing w:before="120" w:beforeAutospacing="0" w:after="0" w:afterAutospacing="0"/>
              <w:jc w:val="center"/>
              <w:rPr>
                <w:b/>
              </w:rPr>
            </w:pPr>
          </w:p>
        </w:tc>
      </w:tr>
      <w:tr w:rsidR="00670F98" w:rsidRPr="007A74C5" w:rsidTr="001006DA">
        <w:trPr>
          <w:trHeight w:val="557"/>
        </w:trPr>
        <w:tc>
          <w:tcPr>
            <w:tcW w:w="910" w:type="dxa"/>
            <w:tcBorders>
              <w:top w:val="single" w:sz="4" w:space="0" w:color="auto"/>
              <w:bottom w:val="single" w:sz="4" w:space="0" w:color="auto"/>
            </w:tcBorders>
          </w:tcPr>
          <w:p w:rsidR="00670F98" w:rsidRDefault="00670F98" w:rsidP="00550F35">
            <w:pPr>
              <w:pStyle w:val="NormalWeb"/>
              <w:spacing w:before="120" w:beforeAutospacing="0" w:after="0" w:afterAutospacing="0"/>
              <w:rPr>
                <w:b/>
              </w:rPr>
            </w:pPr>
            <w:r>
              <w:rPr>
                <w:b/>
              </w:rPr>
              <w:t>10</w:t>
            </w:r>
          </w:p>
        </w:tc>
        <w:tc>
          <w:tcPr>
            <w:tcW w:w="5930" w:type="dxa"/>
            <w:tcBorders>
              <w:top w:val="single" w:sz="4" w:space="0" w:color="auto"/>
              <w:bottom w:val="single" w:sz="4" w:space="0" w:color="auto"/>
            </w:tcBorders>
          </w:tcPr>
          <w:p w:rsidR="00670F98" w:rsidRPr="007A74C5" w:rsidRDefault="00670F98" w:rsidP="00550F35">
            <w:pPr>
              <w:pStyle w:val="NormalWeb"/>
              <w:spacing w:before="120" w:beforeAutospacing="0" w:after="0" w:afterAutospacing="0"/>
            </w:pPr>
            <w:r>
              <w:t>Final work due for grading</w:t>
            </w:r>
          </w:p>
        </w:tc>
        <w:tc>
          <w:tcPr>
            <w:tcW w:w="2610" w:type="dxa"/>
            <w:tcBorders>
              <w:top w:val="single" w:sz="4" w:space="0" w:color="auto"/>
              <w:bottom w:val="single" w:sz="4" w:space="0" w:color="auto"/>
            </w:tcBorders>
          </w:tcPr>
          <w:p w:rsidR="00670F98" w:rsidRDefault="00670F98" w:rsidP="00550F35">
            <w:pPr>
              <w:pStyle w:val="NormalWeb"/>
              <w:spacing w:before="120" w:beforeAutospacing="0" w:after="0" w:afterAutospacing="0"/>
              <w:jc w:val="center"/>
              <w:rPr>
                <w:b/>
              </w:rPr>
            </w:pPr>
          </w:p>
        </w:tc>
      </w:tr>
    </w:tbl>
    <w:p w:rsidR="00E77EAD" w:rsidRDefault="00E77EAD">
      <w:r>
        <w:br w:type="page"/>
      </w:r>
    </w:p>
    <w:p w:rsidR="00D937CC" w:rsidRPr="00AC02F9" w:rsidRDefault="00D937CC" w:rsidP="00D937CC">
      <w:pPr>
        <w:rPr>
          <w:b/>
          <w:i/>
        </w:rPr>
      </w:pPr>
      <w:r>
        <w:rPr>
          <w:b/>
          <w:i/>
        </w:rPr>
        <w:lastRenderedPageBreak/>
        <w:t>Reading List</w:t>
      </w:r>
    </w:p>
    <w:p w:rsidR="00D937CC" w:rsidRDefault="00D937CC" w:rsidP="00D937CC"/>
    <w:p w:rsidR="000A42A7" w:rsidRPr="000A42A7" w:rsidRDefault="000A42A7" w:rsidP="000A42A7">
      <w:pPr>
        <w:pStyle w:val="NormalWeb"/>
        <w:spacing w:before="0" w:beforeAutospacing="0" w:after="120" w:afterAutospacing="0"/>
        <w:ind w:left="720" w:hanging="720"/>
        <w:rPr>
          <w:color w:val="000000"/>
        </w:rPr>
      </w:pPr>
      <w:r w:rsidRPr="000A42A7">
        <w:rPr>
          <w:color w:val="000000"/>
        </w:rPr>
        <w:t>AERA, APA, NCME (2014). </w:t>
      </w:r>
      <w:hyperlink r:id="rId7" w:tgtFrame="_new" w:history="1">
        <w:r w:rsidRPr="000A42A7">
          <w:rPr>
            <w:rStyle w:val="Hyperlink"/>
            <w:i/>
            <w:iCs/>
          </w:rPr>
          <w:t>Standards for educational and psychological testing</w:t>
        </w:r>
      </w:hyperlink>
      <w:r w:rsidRPr="000A42A7">
        <w:rPr>
          <w:color w:val="000000"/>
        </w:rPr>
        <w:t>. Washington DC: American Educational Research Association.</w:t>
      </w:r>
    </w:p>
    <w:p w:rsidR="000A42A7" w:rsidRPr="000A42A7" w:rsidRDefault="000A42A7" w:rsidP="000A42A7">
      <w:pPr>
        <w:pStyle w:val="NormalWeb"/>
        <w:spacing w:before="0" w:beforeAutospacing="0" w:after="120" w:afterAutospacing="0"/>
        <w:ind w:left="720" w:hanging="720"/>
        <w:rPr>
          <w:color w:val="000000"/>
        </w:rPr>
      </w:pPr>
      <w:r w:rsidRPr="000A42A7">
        <w:rPr>
          <w:color w:val="000000"/>
        </w:rPr>
        <w:t>American College Testing Program (1997). </w:t>
      </w:r>
      <w:hyperlink r:id="rId8" w:tgtFrame="_new" w:history="1">
        <w:r w:rsidRPr="000A42A7">
          <w:rPr>
            <w:rStyle w:val="Hyperlink"/>
            <w:i/>
            <w:iCs/>
          </w:rPr>
          <w:t>Reliability issues with performance assessment: A collection of papers</w:t>
        </w:r>
      </w:hyperlink>
      <w:r w:rsidR="00FD463B">
        <w:rPr>
          <w:color w:val="000000"/>
        </w:rPr>
        <w:t>. Iowa City, IA: Author</w:t>
      </w:r>
      <w:r w:rsidRPr="000A42A7">
        <w:rPr>
          <w:color w:val="000000"/>
        </w:rPr>
        <w:t>.</w:t>
      </w:r>
    </w:p>
    <w:p w:rsidR="000A42A7" w:rsidRDefault="000A42A7" w:rsidP="000A42A7">
      <w:pPr>
        <w:pStyle w:val="NormalWeb"/>
        <w:spacing w:before="0" w:beforeAutospacing="0" w:after="120" w:afterAutospacing="0"/>
        <w:ind w:left="720" w:hanging="720"/>
        <w:rPr>
          <w:color w:val="000000"/>
        </w:rPr>
      </w:pPr>
      <w:proofErr w:type="spellStart"/>
      <w:r w:rsidRPr="000A42A7">
        <w:rPr>
          <w:color w:val="000000"/>
        </w:rPr>
        <w:t>Arter</w:t>
      </w:r>
      <w:proofErr w:type="spellEnd"/>
      <w:r w:rsidRPr="000A42A7">
        <w:rPr>
          <w:color w:val="000000"/>
        </w:rPr>
        <w:t>, J. (1999). </w:t>
      </w:r>
      <w:hyperlink r:id="rId9" w:tgtFrame="_new" w:history="1">
        <w:r w:rsidRPr="000A42A7">
          <w:rPr>
            <w:rStyle w:val="Hyperlink"/>
          </w:rPr>
          <w:t>Teaching about performance assessment</w:t>
        </w:r>
      </w:hyperlink>
      <w:r w:rsidRPr="000A42A7">
        <w:rPr>
          <w:color w:val="000000"/>
        </w:rPr>
        <w:t>. </w:t>
      </w:r>
      <w:r w:rsidRPr="000A42A7">
        <w:rPr>
          <w:rStyle w:val="Emphasis"/>
          <w:color w:val="000000"/>
        </w:rPr>
        <w:t>Educational Measurement: Issues and Practice,</w:t>
      </w:r>
      <w:r w:rsidRPr="000A42A7">
        <w:rPr>
          <w:color w:val="000000"/>
        </w:rPr>
        <w:t> </w:t>
      </w:r>
      <w:r w:rsidRPr="000A42A7">
        <w:rPr>
          <w:rStyle w:val="Emphasis"/>
          <w:color w:val="000000"/>
        </w:rPr>
        <w:t>18</w:t>
      </w:r>
      <w:r w:rsidRPr="000A42A7">
        <w:rPr>
          <w:color w:val="000000"/>
        </w:rPr>
        <w:t>(2), 30-44.</w:t>
      </w:r>
    </w:p>
    <w:p w:rsidR="00FD463B" w:rsidRPr="00FD463B" w:rsidRDefault="00FD463B" w:rsidP="00FD463B">
      <w:pPr>
        <w:pStyle w:val="NormalWeb"/>
        <w:spacing w:after="120"/>
        <w:ind w:left="720" w:hanging="720"/>
        <w:rPr>
          <w:color w:val="000000"/>
        </w:rPr>
      </w:pPr>
      <w:proofErr w:type="spellStart"/>
      <w:r w:rsidRPr="00FD463B">
        <w:rPr>
          <w:color w:val="000000"/>
        </w:rPr>
        <w:t>Arter</w:t>
      </w:r>
      <w:proofErr w:type="spellEnd"/>
      <w:r w:rsidRPr="00FD463B">
        <w:rPr>
          <w:color w:val="000000"/>
        </w:rPr>
        <w:t xml:space="preserve">, J.A., &amp; </w:t>
      </w:r>
      <w:proofErr w:type="spellStart"/>
      <w:r w:rsidRPr="00FD463B">
        <w:rPr>
          <w:color w:val="000000"/>
        </w:rPr>
        <w:t>Spandel</w:t>
      </w:r>
      <w:proofErr w:type="spellEnd"/>
      <w:r w:rsidRPr="00FD463B">
        <w:rPr>
          <w:color w:val="000000"/>
        </w:rPr>
        <w:t xml:space="preserve">, V (1992). </w:t>
      </w:r>
      <w:hyperlink r:id="rId10" w:history="1">
        <w:r w:rsidRPr="00FD463B">
          <w:rPr>
            <w:rStyle w:val="Hyperlink"/>
          </w:rPr>
          <w:t>Using portfolios of student work in instruction and assessment</w:t>
        </w:r>
      </w:hyperlink>
      <w:r w:rsidRPr="00FD463B">
        <w:rPr>
          <w:color w:val="000000"/>
        </w:rPr>
        <w:t xml:space="preserve">. </w:t>
      </w:r>
      <w:r w:rsidRPr="00FD463B">
        <w:rPr>
          <w:i/>
          <w:color w:val="000000"/>
        </w:rPr>
        <w:t>Educational Measurement: Issues &amp; Practice, 11</w:t>
      </w:r>
      <w:r w:rsidRPr="00FD463B">
        <w:rPr>
          <w:color w:val="000000"/>
        </w:rPr>
        <w:t>(1), 36-44.</w:t>
      </w:r>
    </w:p>
    <w:p w:rsidR="00FD463B" w:rsidRPr="000A42A7" w:rsidRDefault="00FD463B" w:rsidP="00FD463B">
      <w:pPr>
        <w:pStyle w:val="NormalWeb"/>
        <w:spacing w:before="0" w:beforeAutospacing="0" w:after="120" w:afterAutospacing="0"/>
        <w:ind w:left="720" w:hanging="720"/>
        <w:rPr>
          <w:color w:val="000000"/>
        </w:rPr>
      </w:pPr>
      <w:r w:rsidRPr="00FD463B">
        <w:rPr>
          <w:color w:val="000000"/>
        </w:rPr>
        <w:t xml:space="preserve">Brookhart, S. (1993). </w:t>
      </w:r>
      <w:hyperlink r:id="rId11" w:history="1">
        <w:r w:rsidRPr="00FD463B">
          <w:rPr>
            <w:rStyle w:val="Hyperlink"/>
          </w:rPr>
          <w:t>Assessing student achievement with term papers and written reports</w:t>
        </w:r>
      </w:hyperlink>
      <w:r w:rsidRPr="00FD463B">
        <w:rPr>
          <w:color w:val="000000"/>
        </w:rPr>
        <w:t xml:space="preserve">. </w:t>
      </w:r>
      <w:r w:rsidRPr="00FD463B">
        <w:rPr>
          <w:i/>
          <w:color w:val="000000"/>
        </w:rPr>
        <w:t>Educational Measurement: Issues &amp; Practice, 12</w:t>
      </w:r>
      <w:r w:rsidRPr="00FD463B">
        <w:rPr>
          <w:color w:val="000000"/>
        </w:rPr>
        <w:t>(1), 40-47.</w:t>
      </w:r>
    </w:p>
    <w:p w:rsidR="000A42A7" w:rsidRDefault="000A42A7" w:rsidP="000A42A7">
      <w:pPr>
        <w:pStyle w:val="NormalWeb"/>
        <w:spacing w:before="0" w:beforeAutospacing="0" w:after="120" w:afterAutospacing="0"/>
        <w:ind w:left="720" w:hanging="720"/>
        <w:rPr>
          <w:color w:val="000000"/>
        </w:rPr>
      </w:pPr>
      <w:r w:rsidRPr="000A42A7">
        <w:rPr>
          <w:color w:val="000000"/>
        </w:rPr>
        <w:t>Darling-Hammond, L., &amp; Adamson, F. (2010).</w:t>
      </w:r>
      <w:hyperlink r:id="rId12" w:tgtFrame="_new" w:history="1">
        <w:r w:rsidRPr="000A42A7">
          <w:rPr>
            <w:rStyle w:val="Hyperlink"/>
          </w:rPr>
          <w:t> </w:t>
        </w:r>
        <w:r w:rsidRPr="000A42A7">
          <w:rPr>
            <w:rStyle w:val="Hyperlink"/>
            <w:i/>
          </w:rPr>
          <w:t>Beyond basic skills: The role of performance assessment in achieving 21st century standards of learning</w:t>
        </w:r>
      </w:hyperlink>
      <w:r w:rsidRPr="000A42A7">
        <w:rPr>
          <w:color w:val="000000"/>
        </w:rPr>
        <w:t>. Stanford, CA: Stanford University, Stanford Center for Opportunity Policy in Education.</w:t>
      </w:r>
    </w:p>
    <w:p w:rsidR="00CA48E6" w:rsidRPr="000A42A7" w:rsidRDefault="00CA48E6" w:rsidP="000A42A7">
      <w:pPr>
        <w:pStyle w:val="NormalWeb"/>
        <w:spacing w:before="0" w:beforeAutospacing="0" w:after="120" w:afterAutospacing="0"/>
        <w:ind w:left="720" w:hanging="720"/>
        <w:rPr>
          <w:color w:val="000000"/>
        </w:rPr>
      </w:pPr>
      <w:r w:rsidRPr="00CA48E6">
        <w:rPr>
          <w:color w:val="000000"/>
        </w:rPr>
        <w:t xml:space="preserve">Herman, J.L., </w:t>
      </w:r>
      <w:proofErr w:type="spellStart"/>
      <w:r w:rsidRPr="00CA48E6">
        <w:rPr>
          <w:color w:val="000000"/>
        </w:rPr>
        <w:t>Aschbacher</w:t>
      </w:r>
      <w:proofErr w:type="spellEnd"/>
      <w:r w:rsidRPr="00CA48E6">
        <w:rPr>
          <w:color w:val="000000"/>
        </w:rPr>
        <w:t xml:space="preserve">, P.R., &amp; </w:t>
      </w:r>
      <w:proofErr w:type="gramStart"/>
      <w:r w:rsidRPr="00CA48E6">
        <w:rPr>
          <w:color w:val="000000"/>
        </w:rPr>
        <w:t>Winters</w:t>
      </w:r>
      <w:proofErr w:type="gramEnd"/>
      <w:r w:rsidRPr="00CA48E6">
        <w:rPr>
          <w:color w:val="000000"/>
        </w:rPr>
        <w:t xml:space="preserve">, L. (1992). </w:t>
      </w:r>
      <w:hyperlink r:id="rId13" w:history="1">
        <w:r w:rsidRPr="00CA48E6">
          <w:rPr>
            <w:rStyle w:val="Hyperlink"/>
            <w:i/>
          </w:rPr>
          <w:t>A practical guide to alternative assessment</w:t>
        </w:r>
      </w:hyperlink>
      <w:r w:rsidRPr="00CA48E6">
        <w:rPr>
          <w:color w:val="000000"/>
        </w:rPr>
        <w:t>. Alexandria, VA: ASCD.</w:t>
      </w:r>
    </w:p>
    <w:p w:rsidR="000A42A7" w:rsidRPr="000A42A7" w:rsidRDefault="000A42A7" w:rsidP="000A42A7">
      <w:pPr>
        <w:pStyle w:val="NormalWeb"/>
        <w:spacing w:before="0" w:beforeAutospacing="0" w:after="120" w:afterAutospacing="0"/>
        <w:ind w:left="720" w:hanging="720"/>
        <w:rPr>
          <w:color w:val="000000"/>
        </w:rPr>
      </w:pPr>
      <w:r w:rsidRPr="000A42A7">
        <w:rPr>
          <w:color w:val="000000"/>
        </w:rPr>
        <w:t>Kane, M.B., Crooks, T., &amp; Cohen, A. (1999).</w:t>
      </w:r>
      <w:hyperlink r:id="rId14" w:tgtFrame="_new" w:history="1">
        <w:r w:rsidRPr="000A42A7">
          <w:rPr>
            <w:rStyle w:val="Hyperlink"/>
          </w:rPr>
          <w:t> Validating measures of performance</w:t>
        </w:r>
      </w:hyperlink>
      <w:r w:rsidRPr="000A42A7">
        <w:rPr>
          <w:color w:val="000000"/>
        </w:rPr>
        <w:t>.</w:t>
      </w:r>
      <w:r w:rsidRPr="000A42A7">
        <w:rPr>
          <w:rStyle w:val="Emphasis"/>
          <w:color w:val="000000"/>
        </w:rPr>
        <w:t> Educational Measurement: Issues and Practice</w:t>
      </w:r>
      <w:r w:rsidRPr="000A42A7">
        <w:rPr>
          <w:color w:val="000000"/>
        </w:rPr>
        <w:t>, </w:t>
      </w:r>
      <w:r w:rsidRPr="000A42A7">
        <w:rPr>
          <w:rStyle w:val="Emphasis"/>
          <w:color w:val="000000"/>
        </w:rPr>
        <w:t>18</w:t>
      </w:r>
      <w:r w:rsidRPr="000A42A7">
        <w:rPr>
          <w:color w:val="000000"/>
        </w:rPr>
        <w:t>(2), 5-17.</w:t>
      </w:r>
    </w:p>
    <w:p w:rsidR="000A42A7" w:rsidRPr="000A42A7" w:rsidRDefault="000A42A7" w:rsidP="000A42A7">
      <w:pPr>
        <w:pStyle w:val="NormalWeb"/>
        <w:spacing w:before="0" w:beforeAutospacing="0" w:after="120" w:afterAutospacing="0"/>
        <w:ind w:left="720" w:hanging="720"/>
        <w:rPr>
          <w:color w:val="000000"/>
        </w:rPr>
      </w:pPr>
      <w:r w:rsidRPr="000A42A7">
        <w:rPr>
          <w:color w:val="000000"/>
        </w:rPr>
        <w:t>Kane, M. B., &amp; Mitchell, R. (1996). </w:t>
      </w:r>
      <w:hyperlink r:id="rId15" w:tgtFrame="_new" w:history="1">
        <w:r w:rsidRPr="000A42A7">
          <w:rPr>
            <w:rStyle w:val="Hyperlink"/>
            <w:i/>
            <w:iCs/>
          </w:rPr>
          <w:t>Implementing performance assessment: Promises, problems, and challenges</w:t>
        </w:r>
      </w:hyperlink>
      <w:r w:rsidRPr="000A42A7">
        <w:rPr>
          <w:color w:val="000000"/>
        </w:rPr>
        <w:t>. Mahwah, NJ: Lawrence Erlbaum Associates.</w:t>
      </w:r>
    </w:p>
    <w:p w:rsidR="000A42A7" w:rsidRDefault="000A42A7" w:rsidP="000A42A7">
      <w:pPr>
        <w:pStyle w:val="NormalWeb"/>
        <w:spacing w:before="0" w:beforeAutospacing="0" w:after="120" w:afterAutospacing="0"/>
        <w:ind w:left="720" w:hanging="720"/>
        <w:rPr>
          <w:color w:val="000000"/>
        </w:rPr>
      </w:pPr>
      <w:r w:rsidRPr="000A42A7">
        <w:rPr>
          <w:color w:val="000000"/>
        </w:rPr>
        <w:t>Lane, S. (2010). </w:t>
      </w:r>
      <w:hyperlink r:id="rId16" w:tgtFrame="_new" w:history="1">
        <w:r w:rsidRPr="000A42A7">
          <w:rPr>
            <w:rStyle w:val="Hyperlink"/>
            <w:i/>
          </w:rPr>
          <w:t>Performance assessment: The state of the art</w:t>
        </w:r>
      </w:hyperlink>
      <w:r w:rsidRPr="000A42A7">
        <w:rPr>
          <w:color w:val="000000"/>
        </w:rPr>
        <w:t>. Stanford, CA: Stanford University, Stanford Center for Opportunity Policy in Education.</w:t>
      </w:r>
    </w:p>
    <w:p w:rsidR="00CA48E6" w:rsidRPr="000A42A7" w:rsidRDefault="00CA48E6" w:rsidP="000A42A7">
      <w:pPr>
        <w:pStyle w:val="NormalWeb"/>
        <w:spacing w:before="0" w:beforeAutospacing="0" w:after="120" w:afterAutospacing="0"/>
        <w:ind w:left="720" w:hanging="720"/>
        <w:rPr>
          <w:color w:val="000000"/>
        </w:rPr>
      </w:pPr>
      <w:r w:rsidRPr="00CA48E6">
        <w:rPr>
          <w:color w:val="000000"/>
        </w:rPr>
        <w:t xml:space="preserve">Phillips, G.W. (1996). </w:t>
      </w:r>
      <w:hyperlink r:id="rId17" w:history="1">
        <w:r w:rsidRPr="00CA48E6">
          <w:rPr>
            <w:rStyle w:val="Hyperlink"/>
            <w:i/>
          </w:rPr>
          <w:t>Technical issues in large-scale performance assessment</w:t>
        </w:r>
      </w:hyperlink>
      <w:r w:rsidRPr="00CA48E6">
        <w:rPr>
          <w:color w:val="000000"/>
        </w:rPr>
        <w:t>. Washington, DC: National Center for Education Statistics.</w:t>
      </w:r>
    </w:p>
    <w:p w:rsidR="000A42A7" w:rsidRPr="000A42A7" w:rsidRDefault="000A42A7" w:rsidP="000A42A7">
      <w:pPr>
        <w:pStyle w:val="NormalWeb"/>
        <w:spacing w:before="0" w:beforeAutospacing="0" w:after="120" w:afterAutospacing="0"/>
        <w:ind w:left="720" w:hanging="720"/>
        <w:rPr>
          <w:color w:val="000000"/>
        </w:rPr>
      </w:pPr>
      <w:proofErr w:type="spellStart"/>
      <w:r w:rsidRPr="000A42A7">
        <w:rPr>
          <w:color w:val="000000"/>
        </w:rPr>
        <w:t>Shavelson</w:t>
      </w:r>
      <w:proofErr w:type="spellEnd"/>
      <w:r w:rsidRPr="000A42A7">
        <w:rPr>
          <w:color w:val="000000"/>
        </w:rPr>
        <w:t>, R.J., Baxter, G.P., &amp; Pine, J. (1992). </w:t>
      </w:r>
      <w:hyperlink r:id="rId18" w:tgtFrame="_new" w:history="1">
        <w:r w:rsidRPr="000A42A7">
          <w:rPr>
            <w:rStyle w:val="Hyperlink"/>
          </w:rPr>
          <w:t>Performance assessments: Political rhetoric and measurement reality</w:t>
        </w:r>
      </w:hyperlink>
      <w:r w:rsidRPr="000A42A7">
        <w:rPr>
          <w:color w:val="000000"/>
        </w:rPr>
        <w:t>. </w:t>
      </w:r>
      <w:r w:rsidRPr="000A42A7">
        <w:rPr>
          <w:rStyle w:val="Emphasis"/>
          <w:color w:val="000000"/>
        </w:rPr>
        <w:t>Educational Researcher, 21</w:t>
      </w:r>
      <w:r w:rsidRPr="000A42A7">
        <w:rPr>
          <w:color w:val="000000"/>
        </w:rPr>
        <w:t>(4), 22-27.</w:t>
      </w:r>
    </w:p>
    <w:p w:rsidR="000A42A7" w:rsidRPr="000A42A7" w:rsidRDefault="000A42A7" w:rsidP="000A42A7">
      <w:pPr>
        <w:pStyle w:val="NormalWeb"/>
        <w:spacing w:before="0" w:beforeAutospacing="0" w:after="120" w:afterAutospacing="0"/>
        <w:ind w:left="720" w:hanging="720"/>
        <w:rPr>
          <w:color w:val="000000"/>
        </w:rPr>
      </w:pPr>
      <w:proofErr w:type="spellStart"/>
      <w:r w:rsidRPr="000A42A7">
        <w:rPr>
          <w:color w:val="000000"/>
        </w:rPr>
        <w:t>Stiggens</w:t>
      </w:r>
      <w:proofErr w:type="spellEnd"/>
      <w:r w:rsidRPr="000A42A7">
        <w:rPr>
          <w:color w:val="000000"/>
        </w:rPr>
        <w:t>, R.J. (1987). </w:t>
      </w:r>
      <w:hyperlink r:id="rId19" w:tgtFrame="_new" w:history="1">
        <w:r w:rsidRPr="000A42A7">
          <w:rPr>
            <w:rStyle w:val="Hyperlink"/>
          </w:rPr>
          <w:t>Designs and development of performance assessments</w:t>
        </w:r>
      </w:hyperlink>
      <w:r w:rsidRPr="000A42A7">
        <w:rPr>
          <w:color w:val="000000"/>
        </w:rPr>
        <w:t>. </w:t>
      </w:r>
      <w:r w:rsidRPr="000A42A7">
        <w:rPr>
          <w:rStyle w:val="Emphasis"/>
          <w:color w:val="000000"/>
        </w:rPr>
        <w:t>Educational Measurement: Issues and Practice, 6</w:t>
      </w:r>
      <w:r w:rsidRPr="000A42A7">
        <w:rPr>
          <w:color w:val="000000"/>
        </w:rPr>
        <w:t>(3), 33-42.</w:t>
      </w:r>
    </w:p>
    <w:p w:rsidR="000A42A7" w:rsidRPr="000A42A7" w:rsidRDefault="000A42A7" w:rsidP="000A42A7">
      <w:pPr>
        <w:pStyle w:val="NormalWeb"/>
        <w:spacing w:before="0" w:beforeAutospacing="0" w:after="120" w:afterAutospacing="0"/>
        <w:ind w:left="720" w:hanging="720"/>
        <w:rPr>
          <w:color w:val="000000"/>
        </w:rPr>
      </w:pPr>
      <w:r w:rsidRPr="000A42A7">
        <w:rPr>
          <w:color w:val="000000"/>
        </w:rPr>
        <w:t>Wills, K.V., &amp; Rice, R. (Eds.). (2013). </w:t>
      </w:r>
      <w:hyperlink r:id="rId20" w:tgtFrame="_new" w:history="1">
        <w:proofErr w:type="spellStart"/>
        <w:r w:rsidRPr="000A42A7">
          <w:rPr>
            <w:rStyle w:val="Hyperlink"/>
            <w:i/>
          </w:rPr>
          <w:t>ePortfolio</w:t>
        </w:r>
        <w:proofErr w:type="spellEnd"/>
        <w:r w:rsidRPr="000A42A7">
          <w:rPr>
            <w:rStyle w:val="Hyperlink"/>
            <w:i/>
          </w:rPr>
          <w:t xml:space="preserve"> performance </w:t>
        </w:r>
        <w:r w:rsidR="003F5B24">
          <w:rPr>
            <w:rStyle w:val="Hyperlink"/>
            <w:i/>
          </w:rPr>
          <w:t>s</w:t>
        </w:r>
        <w:r w:rsidRPr="000A42A7">
          <w:rPr>
            <w:rStyle w:val="Hyperlink"/>
            <w:i/>
          </w:rPr>
          <w:t xml:space="preserve">upport systems: Constructing, presenting, and </w:t>
        </w:r>
        <w:r w:rsidR="00FC4950">
          <w:rPr>
            <w:rStyle w:val="Hyperlink"/>
            <w:i/>
          </w:rPr>
          <w:t>assessing</w:t>
        </w:r>
        <w:r w:rsidRPr="000A42A7">
          <w:rPr>
            <w:rStyle w:val="Hyperlink"/>
            <w:i/>
          </w:rPr>
          <w:t xml:space="preserve"> portfolios</w:t>
        </w:r>
      </w:hyperlink>
      <w:r w:rsidRPr="000A42A7">
        <w:rPr>
          <w:color w:val="000000"/>
        </w:rPr>
        <w:t>. Anderson, SC: Parlor Press.</w:t>
      </w:r>
    </w:p>
    <w:p w:rsidR="00D937CC" w:rsidRDefault="00D937CC" w:rsidP="00D937CC">
      <w:pPr>
        <w:rPr>
          <w:b/>
          <w:i/>
        </w:rPr>
      </w:pPr>
    </w:p>
    <w:p w:rsidR="00D937CC" w:rsidRDefault="00D937CC" w:rsidP="00D937CC">
      <w:pPr>
        <w:rPr>
          <w:i/>
        </w:rPr>
      </w:pPr>
      <w:r w:rsidRPr="008D07A5">
        <w:rPr>
          <w:i/>
        </w:rPr>
        <w:t xml:space="preserve">Additional online </w:t>
      </w:r>
      <w:r>
        <w:rPr>
          <w:i/>
        </w:rPr>
        <w:t xml:space="preserve">readings and </w:t>
      </w:r>
      <w:r w:rsidRPr="008D07A5">
        <w:rPr>
          <w:i/>
        </w:rPr>
        <w:t>resources will be available at the course website.</w:t>
      </w:r>
    </w:p>
    <w:p w:rsidR="00D937CC" w:rsidRDefault="00D937CC" w:rsidP="00D937CC"/>
    <w:p w:rsidR="00D937CC" w:rsidRDefault="00D937CC">
      <w:r>
        <w:br w:type="page"/>
      </w:r>
    </w:p>
    <w:p w:rsidR="00D937CC" w:rsidRDefault="00D937CC" w:rsidP="00D937CC"/>
    <w:p w:rsidR="00D937CC" w:rsidRDefault="00D937CC" w:rsidP="00D937CC">
      <w:r>
        <w:rPr>
          <w:b/>
          <w:i/>
        </w:rPr>
        <w:t>Attendance.</w:t>
      </w:r>
      <w:r>
        <w:t xml:space="preserve"> The course </w:t>
      </w:r>
      <w:proofErr w:type="gramStart"/>
      <w:r>
        <w:t>is intended</w:t>
      </w:r>
      <w:proofErr w:type="gramEnd"/>
      <w:r>
        <w:t xml:space="preserve"> to be very interactive. Attendance in every session is expected, but there are no grade-based consequences for missing class. However, out of professional courtesy, please notify the instructors of you plan to be absent for one or more sessions.</w:t>
      </w:r>
    </w:p>
    <w:p w:rsidR="00D937CC" w:rsidRDefault="00D937CC" w:rsidP="00D937CC"/>
    <w:p w:rsidR="00D937CC" w:rsidRPr="00FF42AE" w:rsidRDefault="00D937CC" w:rsidP="00D937CC">
      <w:r>
        <w:rPr>
          <w:b/>
          <w:i/>
        </w:rPr>
        <w:t>Prerequisites</w:t>
      </w:r>
      <w:r>
        <w:t xml:space="preserve">. This course </w:t>
      </w:r>
      <w:proofErr w:type="gramStart"/>
      <w:r>
        <w:t>is intended</w:t>
      </w:r>
      <w:proofErr w:type="gramEnd"/>
      <w:r>
        <w:t xml:space="preserve"> to be an advanced measurement course. As such, students who have completed an introductory measurement course (e.g., EPSY 5221) and a </w:t>
      </w:r>
      <w:proofErr w:type="gramStart"/>
      <w:r>
        <w:t>year-long</w:t>
      </w:r>
      <w:proofErr w:type="gramEnd"/>
      <w:r>
        <w:t xml:space="preserve"> graduate statistics sequence (e.g., EPSY 8261/8262) would be well prepared. Ideally, students will also have completed an advanced measurement course (e.g., EPSY 8221 or EPSY 8222). However, students with appropriate backgrounds and experience might consider taking the course and should consult with the instructors prior to enrolling. There are no </w:t>
      </w:r>
      <w:proofErr w:type="gramStart"/>
      <w:r>
        <w:t>strictly-enforced</w:t>
      </w:r>
      <w:proofErr w:type="gramEnd"/>
      <w:r>
        <w:t xml:space="preserve"> prerequisites for this course.</w:t>
      </w:r>
    </w:p>
    <w:p w:rsidR="00DF7B1C" w:rsidRPr="00B1289F" w:rsidRDefault="00DF7B1C" w:rsidP="00D33C3F"/>
    <w:p w:rsidR="00261B28" w:rsidRPr="00B1289F" w:rsidRDefault="00261B28" w:rsidP="00261B28">
      <w:pPr>
        <w:pStyle w:val="Heading3"/>
        <w:rPr>
          <w:rFonts w:ascii="Times New Roman" w:hAnsi="Times New Roman"/>
        </w:rPr>
      </w:pPr>
      <w:r w:rsidRPr="00B1289F">
        <w:rPr>
          <w:rFonts w:ascii="Times New Roman" w:hAnsi="Times New Roman"/>
        </w:rPr>
        <w:t>Late Work and Incompletes</w:t>
      </w:r>
    </w:p>
    <w:p w:rsidR="00261B28" w:rsidRPr="00B1289F" w:rsidRDefault="00261B28" w:rsidP="00261B28">
      <w:r w:rsidRPr="00B1289F">
        <w:t xml:space="preserve">Late work </w:t>
      </w:r>
      <w:proofErr w:type="gramStart"/>
      <w:r w:rsidRPr="00B1289F">
        <w:t>will be accepted</w:t>
      </w:r>
      <w:proofErr w:type="gramEnd"/>
      <w:r w:rsidRPr="00B1289F">
        <w:t xml:space="preserve"> only if I am previously notified – no points will be deducted for late work that was previously agreed upon. It is up to you to stay on track. An incomplete (I) will be assigned only if agreed to prior to the last week of class. If at the end of the semester course work is incomplete and no prior notification </w:t>
      </w:r>
      <w:proofErr w:type="gramStart"/>
      <w:r w:rsidRPr="00B1289F">
        <w:t>has been given</w:t>
      </w:r>
      <w:proofErr w:type="gramEnd"/>
      <w:r w:rsidRPr="00B1289F">
        <w:t xml:space="preserve">, the grade based on points obtained at that time will be awarded. No options </w:t>
      </w:r>
      <w:proofErr w:type="gramStart"/>
      <w:r w:rsidRPr="00B1289F">
        <w:t>will be given</w:t>
      </w:r>
      <w:proofErr w:type="gramEnd"/>
      <w:r w:rsidRPr="00B1289F">
        <w:t xml:space="preserve"> at that point to submit incomplete work.</w:t>
      </w:r>
    </w:p>
    <w:p w:rsidR="00261B28" w:rsidRPr="00B1289F" w:rsidRDefault="00261B28" w:rsidP="00261B28">
      <w:pPr>
        <w:tabs>
          <w:tab w:val="left" w:pos="1833"/>
        </w:tabs>
      </w:pPr>
    </w:p>
    <w:p w:rsidR="00261B28" w:rsidRPr="00B1289F" w:rsidRDefault="00261B28" w:rsidP="00261B28">
      <w:pPr>
        <w:pStyle w:val="PlainText"/>
        <w:rPr>
          <w:rFonts w:ascii="Times New Roman" w:hAnsi="Times New Roman" w:cs="Times New Roman"/>
          <w:b/>
          <w:sz w:val="24"/>
          <w:szCs w:val="24"/>
        </w:rPr>
      </w:pPr>
      <w:r w:rsidRPr="00B1289F">
        <w:rPr>
          <w:rFonts w:ascii="Times New Roman" w:hAnsi="Times New Roman" w:cs="Times New Roman"/>
          <w:b/>
          <w:sz w:val="24"/>
          <w:szCs w:val="24"/>
        </w:rPr>
        <w:t>Makeup Work for Legitimate Absences:</w:t>
      </w:r>
    </w:p>
    <w:p w:rsidR="00261B28" w:rsidRPr="00B1289F" w:rsidRDefault="00261B28" w:rsidP="00261B28">
      <w:pPr>
        <w:shd w:val="clear" w:color="auto" w:fill="FFFFFF"/>
        <w:rPr>
          <w:color w:val="4C4C4C"/>
          <w:szCs w:val="20"/>
        </w:rPr>
      </w:pPr>
      <w:r w:rsidRPr="00B1289F">
        <w:t xml:space="preserve">Students </w:t>
      </w:r>
      <w:proofErr w:type="gramStart"/>
      <w:r w:rsidRPr="00B1289F">
        <w:t>will not be penalized</w:t>
      </w:r>
      <w:proofErr w:type="gramEnd"/>
      <w:r w:rsidRPr="00B1289F">
        <w:t xml:space="preserve"> for absence during the semester due to unavoidable or legitimate circumstances. Such circumstances include verified illness, participation in intercollegiate athletic events, subpoenas, jury duty, military service, bereavement, and religious observances. Such circumstances do not include voting in local, state, or national elections. For complete information, please see:  </w:t>
      </w:r>
      <w:hyperlink r:id="rId21" w:history="1">
        <w:r w:rsidRPr="00B1289F">
          <w:rPr>
            <w:rStyle w:val="Hyperlink"/>
          </w:rPr>
          <w:t>http://policy.umn.edu/Policies/Education/Education/MAKEUPWORK.html</w:t>
        </w:r>
      </w:hyperlink>
      <w:r w:rsidRPr="00B1289F">
        <w:rPr>
          <w:color w:val="4C4C4C"/>
        </w:rPr>
        <w:t>.</w:t>
      </w:r>
    </w:p>
    <w:p w:rsidR="00261B28" w:rsidRPr="00B1289F" w:rsidRDefault="00261B28" w:rsidP="00261B28"/>
    <w:p w:rsidR="00261B28" w:rsidRPr="00B1289F" w:rsidRDefault="00261B28" w:rsidP="00261B28">
      <w:pPr>
        <w:pStyle w:val="Heading3"/>
        <w:rPr>
          <w:rFonts w:ascii="Times New Roman" w:hAnsi="Times New Roman"/>
        </w:rPr>
      </w:pPr>
      <w:r w:rsidRPr="00B1289F">
        <w:rPr>
          <w:rFonts w:ascii="Times New Roman" w:hAnsi="Times New Roman"/>
        </w:rPr>
        <w:t>Returning Papers, Exams, and Projects</w:t>
      </w:r>
    </w:p>
    <w:p w:rsidR="00261B28" w:rsidRPr="00B1289F" w:rsidRDefault="00261B28" w:rsidP="00261B28">
      <w:r w:rsidRPr="00B1289F">
        <w:t xml:space="preserve">Given the size of the class and the extensiveness of student projects, I will try to return work within one week of the due date. If necessary, you may pick up work prior to the following class period if agreed </w:t>
      </w:r>
      <w:proofErr w:type="gramStart"/>
      <w:r w:rsidRPr="00B1289F">
        <w:t>upon</w:t>
      </w:r>
      <w:proofErr w:type="gramEnd"/>
      <w:r w:rsidRPr="00B1289F">
        <w:t xml:space="preserve">. If, at the end of the semester, you would like to receive remaining work through U.S. mail, submit a self-addressed stamped envelope. Otherwise, you may pick up final projects once grades </w:t>
      </w:r>
      <w:proofErr w:type="gramStart"/>
      <w:r w:rsidRPr="00B1289F">
        <w:t>are submitted</w:t>
      </w:r>
      <w:proofErr w:type="gramEnd"/>
      <w:r w:rsidRPr="00B1289F">
        <w:t xml:space="preserve"> in the Psychological Foundations’ office in 250 Education Sciences Building with a student ID.  Papers will be available there until February 1. Uncollected papers will be destroyed just prior to fall semester the following year.</w:t>
      </w:r>
    </w:p>
    <w:p w:rsidR="00261B28" w:rsidRPr="00B1289F" w:rsidRDefault="00261B28" w:rsidP="00261B28"/>
    <w:p w:rsidR="00261B28" w:rsidRPr="00B1289F" w:rsidRDefault="00261B28" w:rsidP="00261B28">
      <w:pPr>
        <w:pStyle w:val="NormalWeb"/>
        <w:spacing w:before="0" w:beforeAutospacing="0" w:after="0" w:afterAutospacing="0"/>
        <w:rPr>
          <w:b/>
          <w:bCs/>
          <w:color w:val="000000"/>
        </w:rPr>
      </w:pPr>
      <w:r w:rsidRPr="00B1289F">
        <w:rPr>
          <w:b/>
          <w:bCs/>
          <w:color w:val="000000"/>
        </w:rPr>
        <w:t xml:space="preserve">University Senate Grading Policy </w:t>
      </w:r>
    </w:p>
    <w:p w:rsidR="00261B28" w:rsidRPr="00B1289F" w:rsidRDefault="00FF70CA" w:rsidP="00261B28">
      <w:pPr>
        <w:pStyle w:val="NormalWeb"/>
        <w:spacing w:before="0" w:beforeAutospacing="0" w:after="0" w:afterAutospacing="0"/>
        <w:rPr>
          <w:bCs/>
          <w:color w:val="000000"/>
        </w:rPr>
      </w:pPr>
      <w:hyperlink r:id="rId22" w:history="1">
        <w:r w:rsidR="00261B28" w:rsidRPr="00B1289F">
          <w:rPr>
            <w:rStyle w:val="Hyperlink"/>
          </w:rPr>
          <w:t>http://www.fpd.finop.umn.edu/groups/senate/documents/policy/gradingpolicy.html</w:t>
        </w:r>
      </w:hyperlink>
      <w:r w:rsidR="00261B28" w:rsidRPr="00B1289F">
        <w:rPr>
          <w:bCs/>
          <w:color w:val="000000"/>
        </w:rPr>
        <w:t xml:space="preserve"> </w:t>
      </w:r>
    </w:p>
    <w:p w:rsidR="00261B28" w:rsidRPr="00B1289F" w:rsidRDefault="00261B28" w:rsidP="00261B28">
      <w:pPr>
        <w:shd w:val="clear" w:color="auto" w:fill="FFFFFF"/>
      </w:pPr>
    </w:p>
    <w:p w:rsidR="00261B28" w:rsidRPr="00B1289F" w:rsidRDefault="00261B28" w:rsidP="00261B28">
      <w:pPr>
        <w:shd w:val="clear" w:color="auto" w:fill="FFFFFF"/>
      </w:pPr>
      <w:r w:rsidRPr="00B1289F">
        <w:t xml:space="preserve">For additional information, please refer to </w:t>
      </w:r>
      <w:hyperlink r:id="rId23" w:history="1">
        <w:r w:rsidRPr="00B1289F">
          <w:rPr>
            <w:rStyle w:val="Hyperlink"/>
          </w:rPr>
          <w:t>http://policy.umn.edu/Policies/Education/Education/GRADINGTRANSCRIPTS.html</w:t>
        </w:r>
      </w:hyperlink>
      <w:r w:rsidRPr="00B1289F">
        <w:t xml:space="preserve">. </w:t>
      </w:r>
    </w:p>
    <w:p w:rsidR="00261B28" w:rsidRPr="00B1289F" w:rsidRDefault="00261B28" w:rsidP="00261B28"/>
    <w:p w:rsidR="00261B28" w:rsidRPr="00B1289F" w:rsidRDefault="00261B28" w:rsidP="00261B28">
      <w:pPr>
        <w:ind w:left="360" w:hanging="360"/>
      </w:pPr>
      <w:r w:rsidRPr="00B1289F">
        <w:t xml:space="preserve">A - </w:t>
      </w:r>
      <w:proofErr w:type="gramStart"/>
      <w:r w:rsidRPr="00B1289F">
        <w:t>achievement</w:t>
      </w:r>
      <w:proofErr w:type="gramEnd"/>
      <w:r w:rsidRPr="00B1289F">
        <w:t xml:space="preserve"> that is outstanding relative to the level necessary to meet course requirements.</w:t>
      </w:r>
    </w:p>
    <w:p w:rsidR="00261B28" w:rsidRPr="00B1289F" w:rsidRDefault="00261B28" w:rsidP="00261B28">
      <w:pPr>
        <w:ind w:left="360" w:hanging="360"/>
      </w:pPr>
      <w:r w:rsidRPr="00B1289F">
        <w:t xml:space="preserve">B - </w:t>
      </w:r>
      <w:proofErr w:type="gramStart"/>
      <w:r w:rsidRPr="00B1289F">
        <w:t>achievement</w:t>
      </w:r>
      <w:proofErr w:type="gramEnd"/>
      <w:r w:rsidRPr="00B1289F">
        <w:t xml:space="preserve"> that is significantly above the level necessary to meet course requirements.</w:t>
      </w:r>
    </w:p>
    <w:p w:rsidR="00261B28" w:rsidRPr="00B1289F" w:rsidRDefault="00261B28" w:rsidP="00261B28">
      <w:pPr>
        <w:ind w:left="360" w:hanging="360"/>
      </w:pPr>
      <w:r w:rsidRPr="00B1289F">
        <w:t xml:space="preserve">C - </w:t>
      </w:r>
      <w:proofErr w:type="gramStart"/>
      <w:r w:rsidRPr="00B1289F">
        <w:t>achievement</w:t>
      </w:r>
      <w:proofErr w:type="gramEnd"/>
      <w:r w:rsidRPr="00B1289F">
        <w:t xml:space="preserve"> that meets the course requirements in every respect.</w:t>
      </w:r>
    </w:p>
    <w:p w:rsidR="00261B28" w:rsidRPr="00B1289F" w:rsidRDefault="00261B28" w:rsidP="00261B28">
      <w:pPr>
        <w:ind w:left="360" w:right="-180" w:hanging="360"/>
      </w:pPr>
      <w:r w:rsidRPr="00B1289F">
        <w:t xml:space="preserve">D - </w:t>
      </w:r>
      <w:proofErr w:type="gramStart"/>
      <w:r w:rsidRPr="00B1289F">
        <w:t>achievement</w:t>
      </w:r>
      <w:proofErr w:type="gramEnd"/>
      <w:r w:rsidRPr="00B1289F">
        <w:t xml:space="preserve"> that is worthy of credit even though it fails to meet fully the course requirements.</w:t>
      </w:r>
    </w:p>
    <w:p w:rsidR="00261B28" w:rsidRDefault="00261B28" w:rsidP="00261B28">
      <w:pPr>
        <w:tabs>
          <w:tab w:val="left" w:pos="-1080"/>
          <w:tab w:val="left" w:pos="-720"/>
          <w:tab w:val="left" w:pos="0"/>
          <w:tab w:val="left" w:pos="450"/>
          <w:tab w:val="left" w:pos="1260"/>
          <w:tab w:val="left" w:pos="2160"/>
        </w:tabs>
        <w:ind w:left="360" w:hanging="360"/>
      </w:pPr>
      <w:r w:rsidRPr="00B1289F">
        <w:lastRenderedPageBreak/>
        <w:t>I – (Incomplete) assigned at the discretion of the instructor when, due to extraordinary circumstances, e.g., hospitalization, a student is prevented from completing the work of the course on time. Requires a written agreement between instructor and student prior to the last day of class.</w:t>
      </w:r>
    </w:p>
    <w:p w:rsidR="00B1289F" w:rsidRPr="00B1289F" w:rsidRDefault="00B1289F" w:rsidP="00261B28">
      <w:pPr>
        <w:tabs>
          <w:tab w:val="left" w:pos="-1080"/>
          <w:tab w:val="left" w:pos="-720"/>
          <w:tab w:val="left" w:pos="0"/>
          <w:tab w:val="left" w:pos="450"/>
          <w:tab w:val="left" w:pos="1260"/>
          <w:tab w:val="left" w:pos="2160"/>
        </w:tabs>
        <w:ind w:left="360" w:hanging="360"/>
      </w:pPr>
    </w:p>
    <w:tbl>
      <w:tblPr>
        <w:tblW w:w="307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96"/>
        <w:gridCol w:w="3007"/>
      </w:tblGrid>
      <w:tr w:rsidR="00B1289F" w:rsidRPr="00B1289F" w:rsidTr="00B1289F">
        <w:tc>
          <w:tcPr>
            <w:tcW w:w="2453" w:type="pct"/>
            <w:tcBorders>
              <w:top w:val="single" w:sz="6" w:space="0" w:color="000000"/>
              <w:left w:val="single" w:sz="6" w:space="0" w:color="000000"/>
              <w:bottom w:val="single" w:sz="6" w:space="0" w:color="000000"/>
              <w:right w:val="single" w:sz="6" w:space="0" w:color="000000"/>
            </w:tcBorders>
            <w:hideMark/>
          </w:tcPr>
          <w:p w:rsidR="00B1289F" w:rsidRPr="00B1289F" w:rsidRDefault="00B1289F" w:rsidP="00B1289F">
            <w:pPr>
              <w:pStyle w:val="Heading2"/>
              <w:rPr>
                <w:rFonts w:ascii="Times New Roman" w:hAnsi="Times New Roman" w:cs="Times New Roman"/>
                <w:b w:val="0"/>
              </w:rPr>
            </w:pPr>
            <w:r w:rsidRPr="00B1289F">
              <w:rPr>
                <w:rStyle w:val="Strong"/>
                <w:rFonts w:ascii="Times New Roman" w:hAnsi="Times New Roman" w:cs="Times New Roman"/>
              </w:rPr>
              <w:t>Letter Grade</w:t>
            </w:r>
          </w:p>
        </w:tc>
        <w:tc>
          <w:tcPr>
            <w:tcW w:w="2547" w:type="pct"/>
            <w:tcBorders>
              <w:top w:val="single" w:sz="6" w:space="0" w:color="000000"/>
              <w:left w:val="single" w:sz="6" w:space="0" w:color="000000"/>
              <w:bottom w:val="single" w:sz="6" w:space="0" w:color="000000"/>
              <w:right w:val="single" w:sz="6" w:space="0" w:color="000000"/>
            </w:tcBorders>
            <w:hideMark/>
          </w:tcPr>
          <w:p w:rsidR="00B1289F" w:rsidRPr="00B1289F" w:rsidRDefault="00B1289F" w:rsidP="00B1289F">
            <w:pPr>
              <w:pStyle w:val="Heading2"/>
              <w:rPr>
                <w:rFonts w:ascii="Times New Roman" w:hAnsi="Times New Roman" w:cs="Times New Roman"/>
                <w:bCs w:val="0"/>
                <w:szCs w:val="15"/>
              </w:rPr>
            </w:pPr>
            <w:r w:rsidRPr="00B1289F">
              <w:rPr>
                <w:rStyle w:val="Strong"/>
                <w:rFonts w:ascii="Times New Roman" w:hAnsi="Times New Roman" w:cs="Times New Roman"/>
                <w:szCs w:val="15"/>
              </w:rPr>
              <w:t>Percentage</w:t>
            </w:r>
          </w:p>
        </w:tc>
      </w:tr>
      <w:tr w:rsidR="00B1289F" w:rsidRPr="00B1289F" w:rsidTr="00B1289F">
        <w:tc>
          <w:tcPr>
            <w:tcW w:w="2453" w:type="pct"/>
            <w:tcBorders>
              <w:top w:val="single" w:sz="6" w:space="0" w:color="000000"/>
              <w:left w:val="single" w:sz="6" w:space="0" w:color="000000"/>
              <w:bottom w:val="single" w:sz="6" w:space="0" w:color="000000"/>
              <w:right w:val="single" w:sz="6" w:space="0" w:color="000000"/>
            </w:tcBorders>
            <w:hideMark/>
          </w:tcPr>
          <w:p w:rsidR="00B1289F" w:rsidRPr="00B1289F" w:rsidRDefault="00B1289F" w:rsidP="00B1289F">
            <w:pPr>
              <w:ind w:left="1268"/>
              <w:rPr>
                <w:rStyle w:val="Strong"/>
                <w:b w:val="0"/>
              </w:rPr>
            </w:pPr>
            <w:r w:rsidRPr="00B1289F">
              <w:rPr>
                <w:szCs w:val="15"/>
              </w:rPr>
              <w:t>A</w:t>
            </w:r>
          </w:p>
        </w:tc>
        <w:tc>
          <w:tcPr>
            <w:tcW w:w="2547" w:type="pct"/>
            <w:tcBorders>
              <w:top w:val="single" w:sz="6" w:space="0" w:color="000000"/>
              <w:left w:val="single" w:sz="6" w:space="0" w:color="000000"/>
              <w:bottom w:val="single" w:sz="6" w:space="0" w:color="000000"/>
              <w:right w:val="single" w:sz="6" w:space="0" w:color="000000"/>
            </w:tcBorders>
            <w:hideMark/>
          </w:tcPr>
          <w:p w:rsidR="00B1289F" w:rsidRPr="00B1289F" w:rsidRDefault="00B1289F" w:rsidP="00B1289F">
            <w:pPr>
              <w:jc w:val="center"/>
              <w:rPr>
                <w:rStyle w:val="Strong"/>
                <w:b w:val="0"/>
                <w:bCs w:val="0"/>
                <w:szCs w:val="15"/>
              </w:rPr>
            </w:pPr>
            <w:r w:rsidRPr="00B1289F">
              <w:rPr>
                <w:szCs w:val="15"/>
              </w:rPr>
              <w:t>95-100%</w:t>
            </w:r>
          </w:p>
        </w:tc>
      </w:tr>
      <w:tr w:rsidR="00B1289F" w:rsidRPr="00B1289F" w:rsidTr="00B1289F">
        <w:tc>
          <w:tcPr>
            <w:tcW w:w="2453" w:type="pct"/>
            <w:tcBorders>
              <w:top w:val="single" w:sz="6" w:space="0" w:color="000000"/>
              <w:left w:val="single" w:sz="6" w:space="0" w:color="000000"/>
              <w:bottom w:val="single" w:sz="6" w:space="0" w:color="000000"/>
              <w:right w:val="single" w:sz="6" w:space="0" w:color="000000"/>
            </w:tcBorders>
            <w:hideMark/>
          </w:tcPr>
          <w:p w:rsidR="00B1289F" w:rsidRPr="00B1289F" w:rsidRDefault="00B1289F" w:rsidP="00B1289F">
            <w:pPr>
              <w:ind w:left="1268"/>
              <w:rPr>
                <w:rStyle w:val="Strong"/>
                <w:b w:val="0"/>
                <w:bCs w:val="0"/>
                <w:szCs w:val="15"/>
              </w:rPr>
            </w:pPr>
            <w:r w:rsidRPr="00B1289F">
              <w:rPr>
                <w:szCs w:val="15"/>
              </w:rPr>
              <w:t>A-</w:t>
            </w:r>
          </w:p>
        </w:tc>
        <w:tc>
          <w:tcPr>
            <w:tcW w:w="2547" w:type="pct"/>
            <w:tcBorders>
              <w:top w:val="single" w:sz="6" w:space="0" w:color="000000"/>
              <w:left w:val="single" w:sz="6" w:space="0" w:color="000000"/>
              <w:bottom w:val="single" w:sz="6" w:space="0" w:color="000000"/>
              <w:right w:val="single" w:sz="6" w:space="0" w:color="000000"/>
            </w:tcBorders>
            <w:hideMark/>
          </w:tcPr>
          <w:p w:rsidR="00B1289F" w:rsidRPr="00B1289F" w:rsidRDefault="00B1289F" w:rsidP="00B1289F">
            <w:pPr>
              <w:jc w:val="center"/>
              <w:rPr>
                <w:rStyle w:val="Strong"/>
                <w:b w:val="0"/>
                <w:bCs w:val="0"/>
                <w:szCs w:val="15"/>
              </w:rPr>
            </w:pPr>
            <w:r w:rsidRPr="00B1289F">
              <w:rPr>
                <w:szCs w:val="15"/>
              </w:rPr>
              <w:t>90-94.9%</w:t>
            </w:r>
          </w:p>
        </w:tc>
      </w:tr>
      <w:tr w:rsidR="00B1289F" w:rsidRPr="00B1289F" w:rsidTr="00B1289F">
        <w:tc>
          <w:tcPr>
            <w:tcW w:w="2453" w:type="pct"/>
            <w:tcBorders>
              <w:top w:val="single" w:sz="6" w:space="0" w:color="000000"/>
              <w:left w:val="single" w:sz="6" w:space="0" w:color="000000"/>
              <w:bottom w:val="single" w:sz="6" w:space="0" w:color="000000"/>
              <w:right w:val="single" w:sz="6" w:space="0" w:color="000000"/>
            </w:tcBorders>
            <w:hideMark/>
          </w:tcPr>
          <w:p w:rsidR="00B1289F" w:rsidRPr="00B1289F" w:rsidRDefault="00B1289F" w:rsidP="00B1289F">
            <w:pPr>
              <w:ind w:left="1268"/>
            </w:pPr>
            <w:r w:rsidRPr="00B1289F">
              <w:rPr>
                <w:szCs w:val="15"/>
              </w:rPr>
              <w:t>B+</w:t>
            </w:r>
          </w:p>
        </w:tc>
        <w:tc>
          <w:tcPr>
            <w:tcW w:w="2547" w:type="pct"/>
            <w:tcBorders>
              <w:top w:val="single" w:sz="6" w:space="0" w:color="000000"/>
              <w:left w:val="single" w:sz="6" w:space="0" w:color="000000"/>
              <w:bottom w:val="single" w:sz="6" w:space="0" w:color="000000"/>
              <w:right w:val="single" w:sz="6" w:space="0" w:color="000000"/>
            </w:tcBorders>
            <w:hideMark/>
          </w:tcPr>
          <w:p w:rsidR="00B1289F" w:rsidRPr="00B1289F" w:rsidRDefault="00B1289F" w:rsidP="00B1289F">
            <w:pPr>
              <w:jc w:val="center"/>
              <w:rPr>
                <w:szCs w:val="15"/>
              </w:rPr>
            </w:pPr>
            <w:r w:rsidRPr="00B1289F">
              <w:rPr>
                <w:szCs w:val="15"/>
              </w:rPr>
              <w:t>85-89.9%</w:t>
            </w:r>
          </w:p>
        </w:tc>
      </w:tr>
      <w:tr w:rsidR="00B1289F" w:rsidRPr="00B1289F" w:rsidTr="00B1289F">
        <w:tc>
          <w:tcPr>
            <w:tcW w:w="2453" w:type="pct"/>
            <w:tcBorders>
              <w:top w:val="single" w:sz="6" w:space="0" w:color="000000"/>
              <w:left w:val="single" w:sz="6" w:space="0" w:color="000000"/>
              <w:bottom w:val="single" w:sz="6" w:space="0" w:color="000000"/>
              <w:right w:val="single" w:sz="6" w:space="0" w:color="000000"/>
            </w:tcBorders>
            <w:hideMark/>
          </w:tcPr>
          <w:p w:rsidR="00B1289F" w:rsidRPr="00B1289F" w:rsidRDefault="00B1289F" w:rsidP="00B1289F">
            <w:pPr>
              <w:ind w:left="1268"/>
              <w:rPr>
                <w:szCs w:val="15"/>
              </w:rPr>
            </w:pPr>
            <w:r w:rsidRPr="00B1289F">
              <w:rPr>
                <w:szCs w:val="15"/>
              </w:rPr>
              <w:t>B</w:t>
            </w:r>
          </w:p>
        </w:tc>
        <w:tc>
          <w:tcPr>
            <w:tcW w:w="2547" w:type="pct"/>
            <w:tcBorders>
              <w:top w:val="single" w:sz="6" w:space="0" w:color="000000"/>
              <w:left w:val="single" w:sz="6" w:space="0" w:color="000000"/>
              <w:bottom w:val="single" w:sz="6" w:space="0" w:color="000000"/>
              <w:right w:val="single" w:sz="6" w:space="0" w:color="000000"/>
            </w:tcBorders>
            <w:hideMark/>
          </w:tcPr>
          <w:p w:rsidR="00B1289F" w:rsidRPr="00B1289F" w:rsidRDefault="00B1289F" w:rsidP="00B1289F">
            <w:pPr>
              <w:jc w:val="center"/>
              <w:rPr>
                <w:szCs w:val="15"/>
              </w:rPr>
            </w:pPr>
            <w:r w:rsidRPr="00B1289F">
              <w:rPr>
                <w:szCs w:val="15"/>
              </w:rPr>
              <w:t>80-84.9%</w:t>
            </w:r>
          </w:p>
        </w:tc>
      </w:tr>
      <w:tr w:rsidR="00B1289F" w:rsidRPr="00B1289F" w:rsidTr="00B1289F">
        <w:tc>
          <w:tcPr>
            <w:tcW w:w="2453" w:type="pct"/>
            <w:tcBorders>
              <w:top w:val="single" w:sz="6" w:space="0" w:color="000000"/>
              <w:left w:val="single" w:sz="6" w:space="0" w:color="000000"/>
              <w:bottom w:val="single" w:sz="6" w:space="0" w:color="000000"/>
              <w:right w:val="single" w:sz="6" w:space="0" w:color="000000"/>
            </w:tcBorders>
            <w:hideMark/>
          </w:tcPr>
          <w:p w:rsidR="00B1289F" w:rsidRPr="00B1289F" w:rsidRDefault="00B1289F" w:rsidP="00B1289F">
            <w:pPr>
              <w:ind w:left="1268"/>
              <w:rPr>
                <w:szCs w:val="15"/>
              </w:rPr>
            </w:pPr>
            <w:r w:rsidRPr="00B1289F">
              <w:rPr>
                <w:szCs w:val="15"/>
              </w:rPr>
              <w:t>B-</w:t>
            </w:r>
          </w:p>
        </w:tc>
        <w:tc>
          <w:tcPr>
            <w:tcW w:w="2547" w:type="pct"/>
            <w:tcBorders>
              <w:top w:val="single" w:sz="6" w:space="0" w:color="000000"/>
              <w:left w:val="single" w:sz="6" w:space="0" w:color="000000"/>
              <w:bottom w:val="single" w:sz="6" w:space="0" w:color="000000"/>
              <w:right w:val="single" w:sz="6" w:space="0" w:color="000000"/>
            </w:tcBorders>
            <w:hideMark/>
          </w:tcPr>
          <w:p w:rsidR="00B1289F" w:rsidRPr="00B1289F" w:rsidRDefault="00B1289F" w:rsidP="00B1289F">
            <w:pPr>
              <w:jc w:val="center"/>
              <w:rPr>
                <w:szCs w:val="15"/>
              </w:rPr>
            </w:pPr>
            <w:r w:rsidRPr="00B1289F">
              <w:rPr>
                <w:szCs w:val="15"/>
              </w:rPr>
              <w:t>75-79.9%</w:t>
            </w:r>
          </w:p>
        </w:tc>
      </w:tr>
      <w:tr w:rsidR="00B1289F" w:rsidRPr="00B1289F" w:rsidTr="00B1289F">
        <w:tc>
          <w:tcPr>
            <w:tcW w:w="2453" w:type="pct"/>
            <w:tcBorders>
              <w:top w:val="single" w:sz="6" w:space="0" w:color="000000"/>
              <w:left w:val="single" w:sz="6" w:space="0" w:color="000000"/>
              <w:bottom w:val="single" w:sz="6" w:space="0" w:color="000000"/>
              <w:right w:val="single" w:sz="6" w:space="0" w:color="000000"/>
            </w:tcBorders>
            <w:hideMark/>
          </w:tcPr>
          <w:p w:rsidR="00B1289F" w:rsidRPr="00B1289F" w:rsidRDefault="00B1289F" w:rsidP="00B1289F">
            <w:pPr>
              <w:ind w:left="1268"/>
              <w:rPr>
                <w:szCs w:val="15"/>
              </w:rPr>
            </w:pPr>
            <w:r w:rsidRPr="00B1289F">
              <w:rPr>
                <w:szCs w:val="15"/>
              </w:rPr>
              <w:t>C+</w:t>
            </w:r>
          </w:p>
        </w:tc>
        <w:tc>
          <w:tcPr>
            <w:tcW w:w="2547" w:type="pct"/>
            <w:tcBorders>
              <w:top w:val="single" w:sz="6" w:space="0" w:color="000000"/>
              <w:left w:val="single" w:sz="6" w:space="0" w:color="000000"/>
              <w:bottom w:val="single" w:sz="6" w:space="0" w:color="000000"/>
              <w:right w:val="single" w:sz="6" w:space="0" w:color="000000"/>
            </w:tcBorders>
            <w:hideMark/>
          </w:tcPr>
          <w:p w:rsidR="00B1289F" w:rsidRPr="00B1289F" w:rsidRDefault="00B1289F" w:rsidP="00B1289F">
            <w:pPr>
              <w:jc w:val="center"/>
              <w:rPr>
                <w:szCs w:val="15"/>
              </w:rPr>
            </w:pPr>
            <w:r w:rsidRPr="00B1289F">
              <w:rPr>
                <w:szCs w:val="15"/>
              </w:rPr>
              <w:t>70-74.9%</w:t>
            </w:r>
          </w:p>
        </w:tc>
      </w:tr>
      <w:tr w:rsidR="00B1289F" w:rsidRPr="00B1289F" w:rsidTr="00B1289F">
        <w:tc>
          <w:tcPr>
            <w:tcW w:w="2453" w:type="pct"/>
            <w:tcBorders>
              <w:top w:val="single" w:sz="6" w:space="0" w:color="000000"/>
              <w:left w:val="single" w:sz="6" w:space="0" w:color="000000"/>
              <w:bottom w:val="single" w:sz="6" w:space="0" w:color="000000"/>
              <w:right w:val="single" w:sz="6" w:space="0" w:color="000000"/>
            </w:tcBorders>
            <w:hideMark/>
          </w:tcPr>
          <w:p w:rsidR="00B1289F" w:rsidRPr="00B1289F" w:rsidRDefault="00B1289F" w:rsidP="00B1289F">
            <w:pPr>
              <w:ind w:left="1268"/>
              <w:rPr>
                <w:szCs w:val="15"/>
              </w:rPr>
            </w:pPr>
            <w:r w:rsidRPr="00B1289F">
              <w:rPr>
                <w:szCs w:val="15"/>
              </w:rPr>
              <w:t>C</w:t>
            </w:r>
          </w:p>
        </w:tc>
        <w:tc>
          <w:tcPr>
            <w:tcW w:w="2547" w:type="pct"/>
            <w:tcBorders>
              <w:top w:val="single" w:sz="6" w:space="0" w:color="000000"/>
              <w:left w:val="single" w:sz="6" w:space="0" w:color="000000"/>
              <w:bottom w:val="single" w:sz="6" w:space="0" w:color="000000"/>
              <w:right w:val="single" w:sz="6" w:space="0" w:color="000000"/>
            </w:tcBorders>
            <w:hideMark/>
          </w:tcPr>
          <w:p w:rsidR="00B1289F" w:rsidRPr="00B1289F" w:rsidRDefault="00B1289F" w:rsidP="00B1289F">
            <w:pPr>
              <w:jc w:val="center"/>
              <w:rPr>
                <w:szCs w:val="15"/>
              </w:rPr>
            </w:pPr>
            <w:r w:rsidRPr="00B1289F">
              <w:rPr>
                <w:szCs w:val="15"/>
              </w:rPr>
              <w:t>65-69.9%</w:t>
            </w:r>
          </w:p>
        </w:tc>
      </w:tr>
      <w:tr w:rsidR="00B1289F" w:rsidRPr="00B1289F" w:rsidTr="00B1289F">
        <w:tc>
          <w:tcPr>
            <w:tcW w:w="2453" w:type="pct"/>
            <w:tcBorders>
              <w:top w:val="single" w:sz="6" w:space="0" w:color="000000"/>
              <w:left w:val="single" w:sz="6" w:space="0" w:color="000000"/>
              <w:bottom w:val="single" w:sz="6" w:space="0" w:color="000000"/>
              <w:right w:val="single" w:sz="6" w:space="0" w:color="000000"/>
            </w:tcBorders>
            <w:hideMark/>
          </w:tcPr>
          <w:p w:rsidR="00B1289F" w:rsidRPr="00B1289F" w:rsidRDefault="00B1289F" w:rsidP="00B1289F">
            <w:pPr>
              <w:ind w:left="1268"/>
              <w:rPr>
                <w:szCs w:val="15"/>
              </w:rPr>
            </w:pPr>
            <w:r w:rsidRPr="00B1289F">
              <w:rPr>
                <w:szCs w:val="15"/>
              </w:rPr>
              <w:t>C-</w:t>
            </w:r>
          </w:p>
        </w:tc>
        <w:tc>
          <w:tcPr>
            <w:tcW w:w="2547" w:type="pct"/>
            <w:tcBorders>
              <w:top w:val="single" w:sz="6" w:space="0" w:color="000000"/>
              <w:left w:val="single" w:sz="6" w:space="0" w:color="000000"/>
              <w:bottom w:val="single" w:sz="6" w:space="0" w:color="000000"/>
              <w:right w:val="single" w:sz="6" w:space="0" w:color="000000"/>
            </w:tcBorders>
            <w:hideMark/>
          </w:tcPr>
          <w:p w:rsidR="00B1289F" w:rsidRPr="00B1289F" w:rsidRDefault="00B1289F" w:rsidP="00B1289F">
            <w:pPr>
              <w:jc w:val="center"/>
              <w:rPr>
                <w:szCs w:val="15"/>
              </w:rPr>
            </w:pPr>
            <w:r w:rsidRPr="00B1289F">
              <w:rPr>
                <w:szCs w:val="15"/>
              </w:rPr>
              <w:t>60-64.9%</w:t>
            </w:r>
          </w:p>
        </w:tc>
      </w:tr>
    </w:tbl>
    <w:p w:rsidR="00261B28" w:rsidRPr="00B1289F" w:rsidRDefault="00261B28" w:rsidP="00261B28">
      <w:pPr>
        <w:pStyle w:val="NormalWeb"/>
        <w:spacing w:before="0" w:beforeAutospacing="0" w:after="0" w:afterAutospacing="0"/>
        <w:rPr>
          <w:b/>
          <w:bCs/>
        </w:rPr>
      </w:pPr>
    </w:p>
    <w:p w:rsidR="00B1289F" w:rsidRPr="00B1289F" w:rsidRDefault="00261B28" w:rsidP="00261B28">
      <w:pPr>
        <w:pStyle w:val="NormalWeb"/>
        <w:spacing w:before="0" w:beforeAutospacing="0" w:after="0" w:afterAutospacing="0"/>
      </w:pPr>
      <w:r w:rsidRPr="00B1289F">
        <w:rPr>
          <w:b/>
          <w:bCs/>
        </w:rPr>
        <w:t xml:space="preserve">Academic </w:t>
      </w:r>
      <w:r w:rsidR="00B1289F" w:rsidRPr="00B1289F">
        <w:rPr>
          <w:b/>
          <w:bCs/>
        </w:rPr>
        <w:t>D</w:t>
      </w:r>
      <w:r w:rsidRPr="00B1289F">
        <w:rPr>
          <w:b/>
          <w:bCs/>
        </w:rPr>
        <w:t>ishonesty</w:t>
      </w:r>
    </w:p>
    <w:p w:rsidR="00261B28" w:rsidRPr="00B1289F" w:rsidRDefault="00B1289F" w:rsidP="00261B28">
      <w:pPr>
        <w:pStyle w:val="NormalWeb"/>
        <w:spacing w:before="0" w:beforeAutospacing="0" w:after="0" w:afterAutospacing="0"/>
      </w:pPr>
      <w:r>
        <w:t>A</w:t>
      </w:r>
      <w:r w:rsidR="00261B28" w:rsidRPr="00B1289F">
        <w:t>cademic dishonesty in any portion of the academic work for a course shall be grounds for awarding a grade of F or N for the entire course.</w:t>
      </w:r>
    </w:p>
    <w:p w:rsidR="00261B28" w:rsidRPr="00B1289F" w:rsidRDefault="00261B28" w:rsidP="00261B28">
      <w:pPr>
        <w:rPr>
          <w:szCs w:val="20"/>
        </w:rPr>
      </w:pPr>
    </w:p>
    <w:p w:rsidR="00261B28" w:rsidRPr="00B1289F" w:rsidRDefault="00261B28" w:rsidP="00261B28">
      <w:pPr>
        <w:pStyle w:val="Heading3"/>
        <w:rPr>
          <w:rFonts w:ascii="Times New Roman" w:hAnsi="Times New Roman"/>
        </w:rPr>
      </w:pPr>
      <w:r w:rsidRPr="00B1289F">
        <w:rPr>
          <w:rFonts w:ascii="Times New Roman" w:hAnsi="Times New Roman"/>
          <w:b w:val="0"/>
          <w:i/>
        </w:rPr>
        <w:t>How to Access Your Grades</w:t>
      </w:r>
    </w:p>
    <w:p w:rsidR="00261B28" w:rsidRPr="00B1289F" w:rsidRDefault="00261B28" w:rsidP="00261B28">
      <w:pPr>
        <w:pStyle w:val="PlainText"/>
        <w:rPr>
          <w:rFonts w:ascii="Times New Roman" w:hAnsi="Times New Roman" w:cs="Times New Roman"/>
          <w:sz w:val="24"/>
          <w:szCs w:val="24"/>
        </w:rPr>
      </w:pPr>
      <w:r w:rsidRPr="00B1289F">
        <w:rPr>
          <w:rFonts w:ascii="Times New Roman" w:hAnsi="Times New Roman" w:cs="Times New Roman"/>
          <w:sz w:val="24"/>
          <w:szCs w:val="24"/>
        </w:rPr>
        <w:t xml:space="preserve">Go to </w:t>
      </w:r>
      <w:proofErr w:type="spellStart"/>
      <w:r w:rsidRPr="00B1289F">
        <w:rPr>
          <w:rFonts w:ascii="Times New Roman" w:hAnsi="Times New Roman" w:cs="Times New Roman"/>
          <w:sz w:val="24"/>
          <w:szCs w:val="24"/>
        </w:rPr>
        <w:t>OneStop</w:t>
      </w:r>
      <w:proofErr w:type="spellEnd"/>
      <w:r w:rsidRPr="00B1289F">
        <w:rPr>
          <w:rFonts w:ascii="Times New Roman" w:hAnsi="Times New Roman" w:cs="Times New Roman"/>
          <w:sz w:val="24"/>
          <w:szCs w:val="24"/>
        </w:rPr>
        <w:t xml:space="preserve"> for Students (</w:t>
      </w:r>
      <w:hyperlink r:id="rId24" w:history="1">
        <w:r w:rsidRPr="00B1289F">
          <w:rPr>
            <w:rStyle w:val="Hyperlink"/>
            <w:rFonts w:ascii="Times New Roman" w:hAnsi="Times New Roman" w:cs="Times New Roman"/>
            <w:szCs w:val="24"/>
          </w:rPr>
          <w:t>http://onestop.umn.edu/onestop/</w:t>
        </w:r>
      </w:hyperlink>
      <w:r w:rsidRPr="00B1289F">
        <w:rPr>
          <w:rFonts w:ascii="Times New Roman" w:hAnsi="Times New Roman" w:cs="Times New Roman"/>
          <w:sz w:val="24"/>
          <w:szCs w:val="24"/>
        </w:rPr>
        <w:t>), click on Grades &amp; Transcripts; on the right side under Quick Links, click on Grades/Unofficial transcript.</w:t>
      </w:r>
    </w:p>
    <w:p w:rsidR="00261B28" w:rsidRPr="00B1289F" w:rsidRDefault="00261B28" w:rsidP="00261B28">
      <w:pPr>
        <w:rPr>
          <w:szCs w:val="20"/>
        </w:rPr>
      </w:pPr>
    </w:p>
    <w:p w:rsidR="00261B28" w:rsidRPr="00B1289F" w:rsidRDefault="00261B28" w:rsidP="00261B28">
      <w:proofErr w:type="gramStart"/>
      <w:r w:rsidRPr="00B1289F">
        <w:t>The Senate affirms the standard (first adopted by the University Senate on February 16, 1922, and reaffirmed 1993) that one semester credit is to represent, for the average University of Minnesota undergraduate student, three hours of academic work per week (including lectures, laboratories, recitations, discussion groups, field work, study, and so on), or approximately 45 hours of work over the course of an enrollment period.</w:t>
      </w:r>
      <w:proofErr w:type="gramEnd"/>
      <w:r w:rsidRPr="00B1289F">
        <w:t xml:space="preserve"> Expectations of faculty and students </w:t>
      </w:r>
      <w:proofErr w:type="gramStart"/>
      <w:r w:rsidRPr="00B1289F">
        <w:t>will be made</w:t>
      </w:r>
      <w:proofErr w:type="gramEnd"/>
      <w:r w:rsidRPr="00B1289F">
        <w:t xml:space="preserve"> clear. It </w:t>
      </w:r>
      <w:proofErr w:type="gramStart"/>
      <w:r w:rsidRPr="00B1289F">
        <w:t>is expected</w:t>
      </w:r>
      <w:proofErr w:type="gramEnd"/>
      <w:r w:rsidRPr="00B1289F">
        <w:t xml:space="preserve"> that the academic work required of graduate and professional students will exceed three hours per credit per week or 45 hours per semester.</w:t>
      </w:r>
    </w:p>
    <w:p w:rsidR="00261B28" w:rsidRPr="00B1289F" w:rsidRDefault="00261B28" w:rsidP="00261B28"/>
    <w:p w:rsidR="00261B28" w:rsidRPr="00B1289F" w:rsidRDefault="00261B28" w:rsidP="00261B28">
      <w:pPr>
        <w:pStyle w:val="NormalWeb"/>
        <w:spacing w:before="0" w:beforeAutospacing="0" w:after="0" w:afterAutospacing="0"/>
        <w:rPr>
          <w:b/>
          <w:sz w:val="28"/>
          <w:szCs w:val="28"/>
        </w:rPr>
      </w:pPr>
      <w:r w:rsidRPr="00B1289F">
        <w:rPr>
          <w:b/>
          <w:sz w:val="28"/>
          <w:szCs w:val="28"/>
        </w:rPr>
        <w:t>Scholastic Dishonesty</w:t>
      </w:r>
    </w:p>
    <w:p w:rsidR="00261B28" w:rsidRPr="00B1289F" w:rsidRDefault="00261B28" w:rsidP="00261B28">
      <w:pPr>
        <w:shd w:val="clear" w:color="auto" w:fill="FFFFFF"/>
        <w:rPr>
          <w:color w:val="4C4C4C"/>
          <w:szCs w:val="20"/>
        </w:rPr>
      </w:pPr>
      <w:r w:rsidRPr="00B1289F">
        <w:t xml:space="preserve">You </w:t>
      </w:r>
      <w:proofErr w:type="gramStart"/>
      <w:r w:rsidRPr="00B1289F">
        <w:t>are expected</w:t>
      </w:r>
      <w:proofErr w:type="gramEnd"/>
      <w:r w:rsidRPr="00B1289F">
        <w:t xml:space="preserve"> to do your own academic work and cite sources as necessary. Failing to do so is scholastic dishonesty. </w:t>
      </w:r>
      <w:proofErr w:type="gramStart"/>
      <w:r w:rsidRPr="00B1289F">
        <w:t>Scholastic dishonesty means plagiarizing; cheating on assignments or examinations; engaging in unauthorized collaboration on academic work; taking, acquiring, or using test materials without faculty permission; submitting false or incomplete records of academic achievement; acting alone or in cooperation with another to falsify records or to obtain dishonestly grades, honors, awards, or professional endorsement; altering, forging, or misusing a University academic record; or fabricating or falsifying data, research procedures, or data analysis.</w:t>
      </w:r>
      <w:proofErr w:type="gramEnd"/>
      <w:r w:rsidRPr="00B1289F">
        <w:t xml:space="preserve"> (Student Conduct Code:</w:t>
      </w:r>
      <w:r w:rsidRPr="00B1289F">
        <w:rPr>
          <w:color w:val="4C4C4C"/>
        </w:rPr>
        <w:t xml:space="preserve"> </w:t>
      </w:r>
      <w:r w:rsidRPr="00B1289F">
        <w:rPr>
          <w:rStyle w:val="Hyperlink"/>
        </w:rPr>
        <w:t>http://regents.umn.edu/sites/default/files/policies/Student_Conduct_Code.pdf</w:t>
      </w:r>
      <w:r w:rsidRPr="00B1289F">
        <w:rPr>
          <w:color w:val="4C4C4C"/>
        </w:rPr>
        <w:t xml:space="preserve">) </w:t>
      </w:r>
      <w:r w:rsidRPr="00B1289F">
        <w:t xml:space="preserve">If it is determined that a student has cheated, he or she </w:t>
      </w:r>
      <w:proofErr w:type="gramStart"/>
      <w:r w:rsidRPr="00B1289F">
        <w:t>may be given</w:t>
      </w:r>
      <w:proofErr w:type="gramEnd"/>
      <w:r w:rsidRPr="00B1289F">
        <w:t xml:space="preserve"> an "F" or an "N" for the course, and may face additional sanctions from the University. For additional information, please see:</w:t>
      </w:r>
      <w:r w:rsidRPr="00B1289F">
        <w:rPr>
          <w:color w:val="4C4C4C"/>
        </w:rPr>
        <w:t xml:space="preserve"> </w:t>
      </w:r>
      <w:hyperlink r:id="rId25" w:history="1">
        <w:r w:rsidRPr="00B1289F">
          <w:rPr>
            <w:rStyle w:val="Hyperlink"/>
          </w:rPr>
          <w:t>http://policy.umn.edu/Policies/Education/Education/INSTRUCTORRESP.html</w:t>
        </w:r>
      </w:hyperlink>
      <w:r w:rsidRPr="00B1289F">
        <w:rPr>
          <w:color w:val="4C4C4C"/>
        </w:rPr>
        <w:t>.</w:t>
      </w:r>
    </w:p>
    <w:p w:rsidR="00261B28" w:rsidRPr="00B1289F" w:rsidRDefault="00261B28" w:rsidP="00261B28">
      <w:pPr>
        <w:shd w:val="clear" w:color="auto" w:fill="FFFFFF"/>
        <w:rPr>
          <w:color w:val="4C4C4C"/>
        </w:rPr>
      </w:pPr>
    </w:p>
    <w:p w:rsidR="00261B28" w:rsidRPr="00B1289F" w:rsidRDefault="00261B28" w:rsidP="00261B28">
      <w:pPr>
        <w:shd w:val="clear" w:color="auto" w:fill="FFFFFF"/>
        <w:rPr>
          <w:color w:val="4C4C4C"/>
        </w:rPr>
      </w:pPr>
      <w:r w:rsidRPr="00B1289F">
        <w:lastRenderedPageBreak/>
        <w:t xml:space="preserve">The Office for Student Conduct and Academic Integrity has compiled a useful list of Frequently Asked Questions pertaining to scholastic dishonesty: </w:t>
      </w:r>
      <w:hyperlink r:id="rId26" w:history="1">
        <w:r w:rsidRPr="00B1289F">
          <w:rPr>
            <w:rStyle w:val="Hyperlink"/>
          </w:rPr>
          <w:t>http://www1.umn.edu/oscai/integrity/student/index.html</w:t>
        </w:r>
      </w:hyperlink>
      <w:r w:rsidRPr="00B1289F">
        <w:rPr>
          <w:color w:val="4C4C4C"/>
        </w:rPr>
        <w:t xml:space="preserve">. </w:t>
      </w:r>
      <w:r w:rsidRPr="00B1289F">
        <w:t xml:space="preserve">If you have additional questions, please clarify with your instructor for the course. Your instructor can respond to your specific questions regarding what would constitute scholastic dishonesty in the context of a particular class-e.g., whether collaboration on assignments </w:t>
      </w:r>
      <w:proofErr w:type="gramStart"/>
      <w:r w:rsidRPr="00B1289F">
        <w:t>is permitted</w:t>
      </w:r>
      <w:proofErr w:type="gramEnd"/>
      <w:r w:rsidRPr="00B1289F">
        <w:t>, requirements and methods for citing sources, if electronic aids are permitted or prohibited during an exam.</w:t>
      </w:r>
    </w:p>
    <w:p w:rsidR="00261B28" w:rsidRPr="00B1289F" w:rsidRDefault="00261B28" w:rsidP="00261B28"/>
    <w:p w:rsidR="00261B28" w:rsidRPr="00B1289F" w:rsidRDefault="00261B28" w:rsidP="00261B28">
      <w:pPr>
        <w:pStyle w:val="PlainText"/>
        <w:rPr>
          <w:rFonts w:ascii="Times New Roman" w:hAnsi="Times New Roman" w:cs="Times New Roman"/>
          <w:b/>
          <w:sz w:val="28"/>
          <w:szCs w:val="28"/>
        </w:rPr>
      </w:pPr>
      <w:r w:rsidRPr="00B1289F">
        <w:rPr>
          <w:rFonts w:ascii="Times New Roman" w:hAnsi="Times New Roman" w:cs="Times New Roman"/>
          <w:b/>
          <w:sz w:val="28"/>
          <w:szCs w:val="28"/>
        </w:rPr>
        <w:t>University Policies</w:t>
      </w:r>
    </w:p>
    <w:p w:rsidR="00261B28" w:rsidRPr="00B1289F" w:rsidRDefault="00261B28" w:rsidP="00261B28">
      <w:pPr>
        <w:pStyle w:val="PlainText"/>
        <w:rPr>
          <w:rFonts w:ascii="Times New Roman" w:hAnsi="Times New Roman" w:cs="Times New Roman"/>
          <w:color w:val="000000"/>
          <w:sz w:val="24"/>
          <w:szCs w:val="24"/>
        </w:rPr>
      </w:pPr>
      <w:r w:rsidRPr="00B1289F">
        <w:rPr>
          <w:rFonts w:ascii="Times New Roman" w:hAnsi="Times New Roman" w:cs="Times New Roman"/>
          <w:color w:val="000000"/>
          <w:sz w:val="24"/>
          <w:szCs w:val="24"/>
        </w:rPr>
        <w:t xml:space="preserve">See </w:t>
      </w:r>
      <w:hyperlink r:id="rId27" w:history="1">
        <w:r w:rsidRPr="00B1289F">
          <w:rPr>
            <w:rStyle w:val="Hyperlink"/>
            <w:rFonts w:ascii="Times New Roman" w:hAnsi="Times New Roman" w:cs="Times New Roman"/>
            <w:szCs w:val="24"/>
          </w:rPr>
          <w:t>http://onestop.umn.edu/onestop/faculty/Teaching/Policies.html</w:t>
        </w:r>
      </w:hyperlink>
      <w:r w:rsidRPr="00B1289F">
        <w:rPr>
          <w:rFonts w:ascii="Times New Roman" w:hAnsi="Times New Roman" w:cs="Times New Roman"/>
          <w:color w:val="000000"/>
          <w:sz w:val="24"/>
          <w:szCs w:val="24"/>
        </w:rPr>
        <w:t xml:space="preserve"> for a list of policies related to teaching with links to those policies. </w:t>
      </w:r>
    </w:p>
    <w:p w:rsidR="00261B28" w:rsidRPr="00B1289F" w:rsidRDefault="00261B28" w:rsidP="00261B28">
      <w:pPr>
        <w:pStyle w:val="PlainText"/>
        <w:rPr>
          <w:rFonts w:ascii="Times New Roman" w:hAnsi="Times New Roman" w:cs="Times New Roman"/>
          <w:sz w:val="24"/>
          <w:szCs w:val="24"/>
        </w:rPr>
      </w:pPr>
      <w:proofErr w:type="gramStart"/>
      <w:r w:rsidRPr="00B1289F">
        <w:rPr>
          <w:rFonts w:ascii="Times New Roman" w:hAnsi="Times New Roman" w:cs="Times New Roman"/>
          <w:color w:val="000000"/>
          <w:sz w:val="24"/>
          <w:szCs w:val="24"/>
        </w:rPr>
        <w:t>Also</w:t>
      </w:r>
      <w:proofErr w:type="gramEnd"/>
      <w:r w:rsidRPr="00B1289F">
        <w:rPr>
          <w:rFonts w:ascii="Times New Roman" w:hAnsi="Times New Roman" w:cs="Times New Roman"/>
          <w:color w:val="000000"/>
          <w:sz w:val="24"/>
          <w:szCs w:val="24"/>
        </w:rPr>
        <w:t xml:space="preserve"> see </w:t>
      </w:r>
      <w:hyperlink r:id="rId28" w:history="1">
        <w:r w:rsidRPr="00B1289F">
          <w:rPr>
            <w:rStyle w:val="Hyperlink"/>
            <w:rFonts w:ascii="Times New Roman" w:hAnsi="Times New Roman" w:cs="Times New Roman"/>
            <w:szCs w:val="24"/>
          </w:rPr>
          <w:t>http://policy.umn.edu/Policies/Education/Education/STUDENTRESP.html</w:t>
        </w:r>
      </w:hyperlink>
      <w:r w:rsidRPr="00B1289F">
        <w:rPr>
          <w:rFonts w:ascii="Times New Roman" w:hAnsi="Times New Roman" w:cs="Times New Roman"/>
          <w:color w:val="000000"/>
          <w:sz w:val="24"/>
          <w:szCs w:val="24"/>
        </w:rPr>
        <w:t xml:space="preserve"> for University policies related to Teaching and Learning – Student Responsibilities.</w:t>
      </w:r>
    </w:p>
    <w:p w:rsidR="00261B28" w:rsidRPr="00B1289F" w:rsidRDefault="00261B28" w:rsidP="00261B28">
      <w:pPr>
        <w:pStyle w:val="PlainText"/>
        <w:rPr>
          <w:rFonts w:ascii="Times New Roman" w:hAnsi="Times New Roman" w:cs="Times New Roman"/>
          <w:color w:val="000000"/>
          <w:sz w:val="24"/>
          <w:szCs w:val="24"/>
        </w:rPr>
      </w:pPr>
    </w:p>
    <w:p w:rsidR="00261B28" w:rsidRPr="00B1289F" w:rsidRDefault="00261B28" w:rsidP="00261B28">
      <w:pPr>
        <w:pStyle w:val="NormalWeb"/>
        <w:spacing w:before="0" w:beforeAutospacing="0" w:after="0" w:afterAutospacing="0"/>
        <w:rPr>
          <w:b/>
          <w:sz w:val="28"/>
          <w:szCs w:val="28"/>
        </w:rPr>
      </w:pPr>
      <w:r w:rsidRPr="00B1289F">
        <w:rPr>
          <w:b/>
          <w:sz w:val="28"/>
          <w:szCs w:val="28"/>
        </w:rPr>
        <w:t>Student Conduct Code</w:t>
      </w:r>
    </w:p>
    <w:p w:rsidR="00261B28" w:rsidRPr="00B1289F" w:rsidRDefault="00261B28" w:rsidP="00261B28">
      <w:pPr>
        <w:shd w:val="clear" w:color="auto" w:fill="FFFFFF"/>
        <w:rPr>
          <w:szCs w:val="20"/>
        </w:rPr>
      </w:pPr>
      <w:r w:rsidRPr="00B1289F">
        <w:t>The University seeks an environment that promotes academic achievement and integrity, that is protective of free inquiry, and that serves the educational mission of the University. Similarly, the University seeks a community that is free from violence, threats, and intimidation; that is respectful of the rights, opportunities, and welfare of students, faculty, staff, and guests of the University; and that does not threaten the physical or mental health or safety of members of the University community.</w:t>
      </w:r>
    </w:p>
    <w:p w:rsidR="00261B28" w:rsidRPr="00B1289F" w:rsidRDefault="00261B28" w:rsidP="00261B28">
      <w:pPr>
        <w:shd w:val="clear" w:color="auto" w:fill="FFFFFF"/>
        <w:rPr>
          <w:color w:val="4C4C4C"/>
        </w:rPr>
      </w:pPr>
      <w:r w:rsidRPr="00B1289F">
        <w:t xml:space="preserve">As a student at the </w:t>
      </w:r>
      <w:proofErr w:type="gramStart"/>
      <w:r w:rsidRPr="00B1289F">
        <w:t>University</w:t>
      </w:r>
      <w:proofErr w:type="gramEnd"/>
      <w:r w:rsidRPr="00B1289F">
        <w:t xml:space="preserve"> you are expected adhere to Board of Regents Policy: Student Conduct Code. To review the Student Conduct Code, please see:</w:t>
      </w:r>
      <w:r w:rsidRPr="00B1289F">
        <w:rPr>
          <w:color w:val="4C4C4C"/>
        </w:rPr>
        <w:t xml:space="preserve"> </w:t>
      </w:r>
      <w:r w:rsidRPr="00B1289F">
        <w:rPr>
          <w:rStyle w:val="Hyperlink"/>
        </w:rPr>
        <w:t>http://regents.umn.edu/sites/default/files/policies/Student_Conduct_Code.pdf</w:t>
      </w:r>
      <w:r w:rsidRPr="00B1289F">
        <w:rPr>
          <w:color w:val="4C4C4C"/>
        </w:rPr>
        <w:t>.</w:t>
      </w:r>
    </w:p>
    <w:p w:rsidR="00261B28" w:rsidRPr="00B1289F" w:rsidRDefault="00261B28" w:rsidP="00261B28">
      <w:pPr>
        <w:shd w:val="clear" w:color="auto" w:fill="FFFFFF"/>
      </w:pPr>
      <w:r w:rsidRPr="00B1289F">
        <w:t xml:space="preserve">Note that the conduct code specifically addresses disruptive classroom conduct, which </w:t>
      </w:r>
      <w:proofErr w:type="gramStart"/>
      <w:r w:rsidRPr="00B1289F">
        <w:t>means</w:t>
      </w:r>
      <w:proofErr w:type="gramEnd"/>
      <w:r w:rsidRPr="00B1289F">
        <w:t xml:space="preserve"> "engaging in behavior that substantially or repeatedly interrupts either the instructor's ability to teach or student learning. The classroom extends to any setting where a student is engaged in work toward academic credit or satisfaction of program-based requirements or related activities."</w:t>
      </w:r>
    </w:p>
    <w:p w:rsidR="00261B28" w:rsidRPr="00B1289F" w:rsidRDefault="00261B28" w:rsidP="00261B28">
      <w:pPr>
        <w:pStyle w:val="PlainText"/>
        <w:rPr>
          <w:rFonts w:ascii="Times New Roman" w:hAnsi="Times New Roman" w:cs="Times New Roman"/>
          <w:sz w:val="24"/>
          <w:szCs w:val="24"/>
        </w:rPr>
      </w:pPr>
    </w:p>
    <w:p w:rsidR="00261B28" w:rsidRPr="00B1289F" w:rsidRDefault="00261B28" w:rsidP="00261B28">
      <w:pPr>
        <w:pStyle w:val="PlainText"/>
        <w:rPr>
          <w:rFonts w:ascii="Times New Roman" w:hAnsi="Times New Roman" w:cs="Times New Roman"/>
          <w:b/>
          <w:sz w:val="28"/>
          <w:szCs w:val="28"/>
        </w:rPr>
      </w:pPr>
      <w:r w:rsidRPr="00B1289F">
        <w:rPr>
          <w:rFonts w:ascii="Times New Roman" w:hAnsi="Times New Roman" w:cs="Times New Roman"/>
          <w:b/>
          <w:sz w:val="28"/>
          <w:szCs w:val="28"/>
        </w:rPr>
        <w:t>Use of Personal Electronic Devices in the Classroom</w:t>
      </w:r>
    </w:p>
    <w:p w:rsidR="00261B28" w:rsidRPr="00B1289F" w:rsidRDefault="00261B28" w:rsidP="00261B28">
      <w:pPr>
        <w:shd w:val="clear" w:color="auto" w:fill="FFFFFF"/>
        <w:rPr>
          <w:color w:val="4C4C4C"/>
          <w:szCs w:val="20"/>
        </w:rPr>
      </w:pPr>
      <w:r w:rsidRPr="00B1289F">
        <w:t xml:space="preserve">Using personal electronic devices in the classroom setting can hinder instruction and learning, not only for the student using the device but also for other students in the class. To this end, the University establishes the right of each faculty member to determine if and how personal electronic devices </w:t>
      </w:r>
      <w:proofErr w:type="gramStart"/>
      <w:r w:rsidRPr="00B1289F">
        <w:t>are allowed to be used</w:t>
      </w:r>
      <w:proofErr w:type="gramEnd"/>
      <w:r w:rsidRPr="00B1289F">
        <w:t xml:space="preserve"> in the classroom. For complete information, please</w:t>
      </w:r>
      <w:r w:rsidRPr="00B1289F">
        <w:rPr>
          <w:color w:val="4C4C4C"/>
        </w:rPr>
        <w:t xml:space="preserve"> </w:t>
      </w:r>
      <w:r w:rsidRPr="00B1289F">
        <w:t>reference:</w:t>
      </w:r>
      <w:r w:rsidRPr="00B1289F">
        <w:rPr>
          <w:color w:val="4C4C4C"/>
        </w:rPr>
        <w:t xml:space="preserve"> </w:t>
      </w:r>
      <w:hyperlink r:id="rId29" w:history="1">
        <w:r w:rsidRPr="00B1289F">
          <w:rPr>
            <w:rStyle w:val="Hyperlink"/>
          </w:rPr>
          <w:t>http://policy.umn.edu/Policies/Education/Education/STUDENTRESP.html</w:t>
        </w:r>
      </w:hyperlink>
      <w:r w:rsidRPr="00B1289F">
        <w:rPr>
          <w:color w:val="4C4C4C"/>
        </w:rPr>
        <w:t>.</w:t>
      </w:r>
    </w:p>
    <w:p w:rsidR="00261B28" w:rsidRPr="00B1289F" w:rsidRDefault="00261B28" w:rsidP="00261B28">
      <w:pPr>
        <w:shd w:val="clear" w:color="auto" w:fill="FFFFFF"/>
        <w:rPr>
          <w:b/>
          <w:sz w:val="28"/>
          <w:szCs w:val="28"/>
        </w:rPr>
      </w:pPr>
    </w:p>
    <w:p w:rsidR="00261B28" w:rsidRPr="00B1289F" w:rsidRDefault="00261B28" w:rsidP="00261B28">
      <w:pPr>
        <w:pStyle w:val="PlainText"/>
        <w:rPr>
          <w:rFonts w:ascii="Times New Roman" w:hAnsi="Times New Roman" w:cs="Times New Roman"/>
          <w:b/>
          <w:sz w:val="28"/>
          <w:szCs w:val="28"/>
        </w:rPr>
      </w:pPr>
      <w:r w:rsidRPr="00B1289F">
        <w:rPr>
          <w:rFonts w:ascii="Times New Roman" w:hAnsi="Times New Roman" w:cs="Times New Roman"/>
          <w:b/>
          <w:sz w:val="28"/>
          <w:szCs w:val="28"/>
        </w:rPr>
        <w:t>Appropriate Student Use of Class Notes and Course Materials</w:t>
      </w:r>
    </w:p>
    <w:p w:rsidR="00261B28" w:rsidRPr="00B1289F" w:rsidRDefault="00261B28" w:rsidP="00261B28">
      <w:pPr>
        <w:shd w:val="clear" w:color="auto" w:fill="FFFFFF"/>
        <w:rPr>
          <w:color w:val="4C4C4C"/>
          <w:szCs w:val="20"/>
        </w:rPr>
      </w:pPr>
      <w:r w:rsidRPr="00B1289F">
        <w:t>Taking notes is a means of recording information but more importantly of personally absorbing and integrating the educational experience. However, broadly disseminating class notes beyond the classroom community or accepting compensation for taking and distributing classroom notes undermines instructor interests in their intellectual work product while not substantially furthering instructor and student interests in effective learning. Such actions violate shared norms and standards of the academic community. For additional information, please see:</w:t>
      </w:r>
      <w:r w:rsidRPr="00B1289F">
        <w:rPr>
          <w:color w:val="4C4C4C"/>
        </w:rPr>
        <w:t xml:space="preserve"> </w:t>
      </w:r>
      <w:hyperlink r:id="rId30" w:history="1">
        <w:r w:rsidRPr="00B1289F">
          <w:rPr>
            <w:rStyle w:val="Hyperlink"/>
          </w:rPr>
          <w:t>http://policy.umn.edu/Policies/Education/Education/STUDENTRESP.html</w:t>
        </w:r>
      </w:hyperlink>
      <w:r w:rsidRPr="00B1289F">
        <w:rPr>
          <w:color w:val="4C4C4C"/>
        </w:rPr>
        <w:t>.</w:t>
      </w:r>
    </w:p>
    <w:p w:rsidR="00261B28" w:rsidRPr="00B1289F" w:rsidRDefault="00261B28" w:rsidP="00261B28">
      <w:pPr>
        <w:shd w:val="clear" w:color="auto" w:fill="FFFFFF"/>
        <w:rPr>
          <w:b/>
          <w:sz w:val="28"/>
          <w:szCs w:val="28"/>
        </w:rPr>
      </w:pPr>
    </w:p>
    <w:p w:rsidR="00261B28" w:rsidRPr="00B1289F" w:rsidRDefault="00261B28" w:rsidP="00261B28">
      <w:pPr>
        <w:pStyle w:val="PlainText"/>
        <w:rPr>
          <w:rFonts w:ascii="Times New Roman" w:hAnsi="Times New Roman" w:cs="Times New Roman"/>
          <w:b/>
          <w:sz w:val="28"/>
          <w:szCs w:val="28"/>
        </w:rPr>
      </w:pPr>
      <w:r w:rsidRPr="00B1289F">
        <w:rPr>
          <w:rFonts w:ascii="Times New Roman" w:hAnsi="Times New Roman" w:cs="Times New Roman"/>
          <w:b/>
          <w:sz w:val="28"/>
          <w:szCs w:val="28"/>
        </w:rPr>
        <w:lastRenderedPageBreak/>
        <w:t>Sexual Harassment</w:t>
      </w:r>
    </w:p>
    <w:p w:rsidR="00261B28" w:rsidRPr="00B1289F" w:rsidRDefault="00261B28" w:rsidP="00261B28">
      <w:pPr>
        <w:shd w:val="clear" w:color="auto" w:fill="FFFFFF"/>
        <w:rPr>
          <w:color w:val="4C4C4C"/>
          <w:szCs w:val="20"/>
        </w:rPr>
      </w:pPr>
      <w:r w:rsidRPr="00B1289F">
        <w:t>"Sexual harassment" means unwelcome sexual advances, requests for sexual favors, and/or other verbal or physical conduct of a sexual nature. Such conduct has the purpose or effect of unreasonably interfering with an individual's work or academic performance or creating an intimidating, hostile, or offensive working or academic environment in any University activity or program. Such behavior is not acceptable in the University setting. For additional information,</w:t>
      </w:r>
      <w:r w:rsidRPr="00B1289F">
        <w:rPr>
          <w:color w:val="4C4C4C"/>
        </w:rPr>
        <w:t xml:space="preserve"> </w:t>
      </w:r>
      <w:r w:rsidRPr="00B1289F">
        <w:t xml:space="preserve">please consult Board of Regents Policy: </w:t>
      </w:r>
      <w:hyperlink r:id="rId31" w:history="1">
        <w:r w:rsidRPr="00B1289F">
          <w:rPr>
            <w:rStyle w:val="Hyperlink"/>
          </w:rPr>
          <w:t>http://regents.umn.edu/sites/default/files/policies/SexHarassment.pdf</w:t>
        </w:r>
      </w:hyperlink>
    </w:p>
    <w:p w:rsidR="00261B28" w:rsidRPr="00B1289F" w:rsidRDefault="00261B28" w:rsidP="00261B28">
      <w:pPr>
        <w:pStyle w:val="PlainText"/>
        <w:rPr>
          <w:rFonts w:ascii="Times New Roman" w:hAnsi="Times New Roman" w:cs="Times New Roman"/>
          <w:color w:val="000000"/>
          <w:sz w:val="24"/>
          <w:szCs w:val="24"/>
          <w:u w:val="single"/>
        </w:rPr>
      </w:pPr>
    </w:p>
    <w:p w:rsidR="00261B28" w:rsidRPr="00B1289F" w:rsidRDefault="00261B28" w:rsidP="00261B28">
      <w:pPr>
        <w:pStyle w:val="PlainText"/>
        <w:rPr>
          <w:rFonts w:ascii="Times New Roman" w:hAnsi="Times New Roman" w:cs="Times New Roman"/>
          <w:b/>
          <w:sz w:val="28"/>
          <w:szCs w:val="28"/>
        </w:rPr>
      </w:pPr>
      <w:r w:rsidRPr="00B1289F">
        <w:rPr>
          <w:rFonts w:ascii="Times New Roman" w:hAnsi="Times New Roman" w:cs="Times New Roman"/>
          <w:b/>
          <w:sz w:val="28"/>
          <w:szCs w:val="28"/>
        </w:rPr>
        <w:t>Equity, Diversity, Equal Opportunity, and Affirmative Action</w:t>
      </w:r>
    </w:p>
    <w:p w:rsidR="00261B28" w:rsidRPr="00B1289F" w:rsidRDefault="00261B28" w:rsidP="00261B28">
      <w:pPr>
        <w:shd w:val="clear" w:color="auto" w:fill="FFFFFF"/>
        <w:rPr>
          <w:color w:val="4C4C4C"/>
          <w:szCs w:val="20"/>
        </w:rPr>
      </w:pPr>
      <w:r w:rsidRPr="00B1289F">
        <w:t xml:space="preserve">The University will provide equal access to and opportunity in its programs and facilities, without regard to race, color, creed, religion, national origin, gender, age, marital status, disability, public assistance status, veteran status, sexual orientation, gender identity, or gender expression. For more information, please consult Board of Regents Policy: </w:t>
      </w:r>
      <w:hyperlink r:id="rId32" w:history="1">
        <w:r w:rsidRPr="00B1289F">
          <w:rPr>
            <w:rStyle w:val="Hyperlink"/>
          </w:rPr>
          <w:t>http://regents.umn.edu/sites/default/files/policies/Equity_Diversity_EO_AA.pdf</w:t>
        </w:r>
      </w:hyperlink>
      <w:r w:rsidRPr="00B1289F">
        <w:rPr>
          <w:color w:val="4C4C4C"/>
        </w:rPr>
        <w:t>.</w:t>
      </w:r>
    </w:p>
    <w:p w:rsidR="00261B28" w:rsidRPr="00B1289F" w:rsidRDefault="00261B28" w:rsidP="00261B28">
      <w:pPr>
        <w:pStyle w:val="PlainText"/>
        <w:rPr>
          <w:rFonts w:ascii="Times New Roman" w:hAnsi="Times New Roman" w:cs="Times New Roman"/>
          <w:b/>
          <w:sz w:val="28"/>
          <w:szCs w:val="28"/>
        </w:rPr>
      </w:pPr>
    </w:p>
    <w:p w:rsidR="00261B28" w:rsidRPr="00B1289F" w:rsidRDefault="00261B28" w:rsidP="00261B28">
      <w:pPr>
        <w:pStyle w:val="PlainText"/>
        <w:rPr>
          <w:rFonts w:ascii="Times New Roman" w:hAnsi="Times New Roman" w:cs="Times New Roman"/>
          <w:b/>
          <w:sz w:val="28"/>
          <w:szCs w:val="28"/>
        </w:rPr>
      </w:pPr>
      <w:r w:rsidRPr="00B1289F">
        <w:rPr>
          <w:rFonts w:ascii="Times New Roman" w:hAnsi="Times New Roman" w:cs="Times New Roman"/>
          <w:b/>
          <w:sz w:val="28"/>
          <w:szCs w:val="28"/>
        </w:rPr>
        <w:t>Disability Accommodations</w:t>
      </w:r>
    </w:p>
    <w:p w:rsidR="00261B28" w:rsidRPr="00B1289F" w:rsidRDefault="00261B28" w:rsidP="00261B28">
      <w:pPr>
        <w:pStyle w:val="NormalWeb"/>
        <w:shd w:val="clear" w:color="auto" w:fill="FFFFFF"/>
        <w:spacing w:before="0" w:beforeAutospacing="0" w:after="0" w:afterAutospacing="0"/>
        <w:rPr>
          <w:color w:val="4C4C4C"/>
        </w:rPr>
      </w:pPr>
      <w:r w:rsidRPr="00B1289F">
        <w:t xml:space="preserve">The University of Minnesota is committed to providing equitable access to learning opportunities for all students. Disability Services (DS) is the campus office that collaborates with students who have disabilities to provide and/or arrange reasonable accommodations.  If you have, or think you may have, a disability (e.g., mental health, attentional, learning, chronic health, sensory, or physical), please contact DS at 612-626-1333 to arrange a confidential discussion regarding equitable access and reasonable accommodations. If you </w:t>
      </w:r>
      <w:proofErr w:type="gramStart"/>
      <w:r w:rsidRPr="00B1289F">
        <w:t>are registered</w:t>
      </w:r>
      <w:proofErr w:type="gramEnd"/>
      <w:r w:rsidRPr="00B1289F">
        <w:t xml:space="preserve"> with DS and have a current letter requesting reasonable accommodations, please contact your instructor as early in the semester as possible to discuss how the accommodations will be applied in the course. For more information, please see the DS website,</w:t>
      </w:r>
      <w:r w:rsidRPr="00B1289F">
        <w:rPr>
          <w:color w:val="4C4C4C"/>
        </w:rPr>
        <w:t xml:space="preserve"> </w:t>
      </w:r>
      <w:hyperlink r:id="rId33" w:history="1">
        <w:r w:rsidRPr="00B1289F">
          <w:rPr>
            <w:rStyle w:val="Hyperlink"/>
          </w:rPr>
          <w:t>https://diversity.umn.edu/disability/</w:t>
        </w:r>
      </w:hyperlink>
      <w:r w:rsidRPr="00B1289F">
        <w:rPr>
          <w:color w:val="4C4C4C"/>
        </w:rPr>
        <w:t>.</w:t>
      </w:r>
    </w:p>
    <w:p w:rsidR="00261B28" w:rsidRPr="00B1289F" w:rsidRDefault="00261B28" w:rsidP="00261B28">
      <w:pPr>
        <w:pStyle w:val="PlainText"/>
        <w:rPr>
          <w:rFonts w:ascii="Times New Roman" w:hAnsi="Times New Roman" w:cs="Times New Roman"/>
          <w:b/>
          <w:sz w:val="28"/>
          <w:szCs w:val="28"/>
        </w:rPr>
      </w:pPr>
    </w:p>
    <w:p w:rsidR="00261B28" w:rsidRPr="00B1289F" w:rsidRDefault="00261B28" w:rsidP="00261B28">
      <w:pPr>
        <w:pStyle w:val="PlainText"/>
        <w:rPr>
          <w:rFonts w:ascii="Times New Roman" w:hAnsi="Times New Roman" w:cs="Times New Roman"/>
          <w:b/>
          <w:sz w:val="28"/>
          <w:szCs w:val="28"/>
        </w:rPr>
      </w:pPr>
      <w:r w:rsidRPr="00B1289F">
        <w:rPr>
          <w:rFonts w:ascii="Times New Roman" w:hAnsi="Times New Roman" w:cs="Times New Roman"/>
          <w:b/>
          <w:sz w:val="28"/>
          <w:szCs w:val="28"/>
        </w:rPr>
        <w:t>Mental Health Services</w:t>
      </w:r>
    </w:p>
    <w:p w:rsidR="00261B28" w:rsidRPr="00B1289F" w:rsidRDefault="00261B28" w:rsidP="00261B28">
      <w:pPr>
        <w:pStyle w:val="NormalWeb"/>
        <w:shd w:val="clear" w:color="auto" w:fill="FFFFFF"/>
        <w:spacing w:before="0" w:beforeAutospacing="0" w:after="0" w:afterAutospacing="0"/>
        <w:rPr>
          <w:color w:val="4C4C4C"/>
        </w:rPr>
      </w:pPr>
      <w:r w:rsidRPr="00B1289F">
        <w:t xml:space="preserve">As a </w:t>
      </w:r>
      <w:proofErr w:type="gramStart"/>
      <w:r w:rsidRPr="00B1289F">
        <w:t>student</w:t>
      </w:r>
      <w:proofErr w:type="gramEnd"/>
      <w:r w:rsidRPr="00B1289F">
        <w:t xml:space="preserve">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and may reduce your ability to participate in daily activities. University of Minnesota services are available to assist you. You can learn more about the broad range of confidential mental health services available on campus via the Student Mental Health Website: </w:t>
      </w:r>
      <w:hyperlink r:id="rId34" w:history="1">
        <w:r w:rsidRPr="00B1289F">
          <w:rPr>
            <w:rStyle w:val="Hyperlink"/>
          </w:rPr>
          <w:t>http://www.mentalhealth.umn.edu</w:t>
        </w:r>
      </w:hyperlink>
      <w:r w:rsidRPr="00B1289F">
        <w:rPr>
          <w:color w:val="4C4C4C"/>
        </w:rPr>
        <w:t>.</w:t>
      </w:r>
    </w:p>
    <w:p w:rsidR="00261B28" w:rsidRPr="00B1289F" w:rsidRDefault="00261B28" w:rsidP="00261B28">
      <w:pPr>
        <w:pStyle w:val="PlainText"/>
        <w:rPr>
          <w:rFonts w:ascii="Times New Roman" w:hAnsi="Times New Roman" w:cs="Times New Roman"/>
          <w:sz w:val="24"/>
          <w:szCs w:val="24"/>
        </w:rPr>
      </w:pPr>
    </w:p>
    <w:p w:rsidR="00261B28" w:rsidRPr="00B1289F" w:rsidRDefault="00261B28" w:rsidP="00261B28">
      <w:pPr>
        <w:pStyle w:val="PlainText"/>
        <w:rPr>
          <w:rFonts w:ascii="Times New Roman" w:hAnsi="Times New Roman" w:cs="Times New Roman"/>
          <w:b/>
          <w:sz w:val="28"/>
          <w:szCs w:val="28"/>
        </w:rPr>
      </w:pPr>
      <w:r w:rsidRPr="00B1289F">
        <w:rPr>
          <w:rFonts w:ascii="Times New Roman" w:hAnsi="Times New Roman" w:cs="Times New Roman"/>
          <w:b/>
          <w:sz w:val="28"/>
          <w:szCs w:val="28"/>
        </w:rPr>
        <w:t xml:space="preserve">Academic Freedom and Responsibility: for courses that do </w:t>
      </w:r>
      <w:r w:rsidRPr="00B1289F">
        <w:rPr>
          <w:rFonts w:ascii="Times New Roman" w:hAnsi="Times New Roman" w:cs="Times New Roman"/>
          <w:b/>
          <w:sz w:val="28"/>
          <w:szCs w:val="28"/>
          <w:u w:val="single"/>
        </w:rPr>
        <w:t>not</w:t>
      </w:r>
      <w:r w:rsidRPr="00B1289F">
        <w:rPr>
          <w:rFonts w:ascii="Times New Roman" w:hAnsi="Times New Roman" w:cs="Times New Roman"/>
          <w:b/>
          <w:sz w:val="28"/>
          <w:szCs w:val="28"/>
        </w:rPr>
        <w:t xml:space="preserve"> involve students in research</w:t>
      </w:r>
    </w:p>
    <w:p w:rsidR="00B1289F" w:rsidRPr="00B1289F" w:rsidRDefault="00261B28" w:rsidP="00261B28">
      <w:pPr>
        <w:shd w:val="clear" w:color="auto" w:fill="FFFFFF"/>
      </w:pPr>
      <w:r w:rsidRPr="00B1289F">
        <w:t xml:space="preserve">Academic freedom is a cornerstone of the University. Within the scope and content of the course as defined by the instructor, it includes the freedom to discuss relevant matters in the classroom. Along with this freedom comes responsibility. Students are encouraged to develop the capacity for critical judgment and to engage in a sustained and independent search for truth. Students are free to take reasoned exception to the views offered in any course of study and to reserve judgment about matters of opinion, but they are responsible for learning the content of any course of study for which they </w:t>
      </w:r>
      <w:proofErr w:type="gramStart"/>
      <w:r w:rsidRPr="00B1289F">
        <w:t>are enrolled</w:t>
      </w:r>
      <w:proofErr w:type="gramEnd"/>
      <w:r w:rsidRPr="00B1289F">
        <w:t>.</w:t>
      </w:r>
    </w:p>
    <w:p w:rsidR="00B1289F" w:rsidRPr="00B1289F" w:rsidRDefault="00B1289F" w:rsidP="00261B28">
      <w:pPr>
        <w:shd w:val="clear" w:color="auto" w:fill="FFFFFF"/>
      </w:pPr>
    </w:p>
    <w:p w:rsidR="00B1289F" w:rsidRPr="00B1289F" w:rsidRDefault="00B1289F" w:rsidP="00B1289F">
      <w:r w:rsidRPr="00B1289F">
        <w:rPr>
          <w:b/>
          <w:sz w:val="28"/>
          <w:szCs w:val="28"/>
        </w:rPr>
        <w:t>Diversity</w:t>
      </w:r>
    </w:p>
    <w:p w:rsidR="00B1289F" w:rsidRPr="00B1289F" w:rsidRDefault="00B1289F" w:rsidP="00B1289F">
      <w:pPr>
        <w:pStyle w:val="NormalWeb"/>
        <w:spacing w:before="0" w:beforeAutospacing="0" w:after="0" w:afterAutospacing="0"/>
      </w:pPr>
      <w:r w:rsidRPr="00B1289F">
        <w:t xml:space="preserve">The College of Education and Human Development is committed to have every course contribute to our understanding of diversity, including but not limited to: age, creed, disability, ethnicity, gender, global perspectives, international background, language background, learning differences, marital status, multicultural perspectives, national origin, public assistance status, race, religion, sex, sexual orientation, and veteran status. Each of these characteristics plays a role in educational and psychological measurement. They are factors that contribute to individual differences -- they (may) affect the constructs we set out to measure and the way we interpret and report test results. These issues will </w:t>
      </w:r>
      <w:proofErr w:type="gramStart"/>
      <w:r w:rsidRPr="00B1289F">
        <w:t>be addressed</w:t>
      </w:r>
      <w:proofErr w:type="gramEnd"/>
      <w:r w:rsidRPr="00B1289F">
        <w:t xml:space="preserve"> throughout the course and will be used as topics of debate and considerations in cases of responsible test use.</w:t>
      </w:r>
    </w:p>
    <w:p w:rsidR="00B1289F" w:rsidRPr="00B1289F" w:rsidRDefault="00B1289F" w:rsidP="00B1289F">
      <w:pPr>
        <w:pStyle w:val="NormalWeb"/>
        <w:spacing w:before="0" w:beforeAutospacing="0" w:after="0" w:afterAutospacing="0"/>
      </w:pPr>
    </w:p>
    <w:p w:rsidR="00B1289F" w:rsidRPr="00B1289F" w:rsidRDefault="00B1289F" w:rsidP="00B1289F">
      <w:pPr>
        <w:pStyle w:val="NormalWeb"/>
        <w:spacing w:before="0" w:beforeAutospacing="0" w:after="0" w:afterAutospacing="0"/>
      </w:pPr>
      <w:proofErr w:type="gramStart"/>
      <w:r w:rsidRPr="00B1289F">
        <w:t>It is the University Policy to provide, on a flexible and individualized basis, reasonable accommodations to students who have disabilities that may affect their ability to participate in course activities or to meet course requirements.</w:t>
      </w:r>
      <w:proofErr w:type="gramEnd"/>
      <w:r w:rsidRPr="00B1289F">
        <w:t xml:space="preserve"> Students with disabilities are encouraged to contact me when possible to discuss their individual needs for accommodations.</w:t>
      </w:r>
    </w:p>
    <w:p w:rsidR="00B1289F" w:rsidRPr="00B1289F" w:rsidRDefault="00B1289F" w:rsidP="00B1289F">
      <w:pPr>
        <w:pStyle w:val="NormalWeb"/>
        <w:spacing w:before="0" w:beforeAutospacing="0" w:after="0" w:afterAutospacing="0"/>
      </w:pPr>
    </w:p>
    <w:p w:rsidR="00261B28" w:rsidRPr="00B1289F" w:rsidRDefault="00261B28" w:rsidP="00261B28">
      <w:pPr>
        <w:shd w:val="clear" w:color="auto" w:fill="FFFFFF"/>
      </w:pPr>
      <w:r w:rsidRPr="00B1289F">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92"/>
      </w:tblGrid>
      <w:tr w:rsidR="00261B28" w:rsidRPr="00B1289F" w:rsidTr="00261B28">
        <w:tc>
          <w:tcPr>
            <w:tcW w:w="5000" w:type="pct"/>
            <w:tcBorders>
              <w:top w:val="single" w:sz="4" w:space="0" w:color="auto"/>
              <w:left w:val="single" w:sz="4" w:space="0" w:color="auto"/>
              <w:bottom w:val="single" w:sz="4" w:space="0" w:color="auto"/>
              <w:right w:val="single" w:sz="4" w:space="0" w:color="auto"/>
            </w:tcBorders>
          </w:tcPr>
          <w:p w:rsidR="00261B28" w:rsidRPr="00B1289F" w:rsidRDefault="00261B28">
            <w:pPr>
              <w:pStyle w:val="Heading3"/>
              <w:rPr>
                <w:rFonts w:ascii="Times New Roman" w:hAnsi="Times New Roman"/>
                <w:bCs w:val="0"/>
              </w:rPr>
            </w:pPr>
            <w:r w:rsidRPr="00B1289F">
              <w:rPr>
                <w:rFonts w:ascii="Times New Roman" w:hAnsi="Times New Roman"/>
                <w:bCs w:val="0"/>
              </w:rPr>
              <w:lastRenderedPageBreak/>
              <w:t>College of Education &amp; Human Development Mission Statement</w:t>
            </w:r>
          </w:p>
          <w:p w:rsidR="00261B28" w:rsidRPr="00B1289F" w:rsidRDefault="00261B28">
            <w:pPr>
              <w:rPr>
                <w:sz w:val="22"/>
              </w:rPr>
            </w:pPr>
          </w:p>
          <w:p w:rsidR="00261B28" w:rsidRPr="00B1289F" w:rsidRDefault="00261B28">
            <w:pPr>
              <w:pStyle w:val="PlainText"/>
              <w:rPr>
                <w:rFonts w:ascii="Times New Roman" w:hAnsi="Times New Roman" w:cs="Times New Roman"/>
                <w:sz w:val="24"/>
                <w:szCs w:val="24"/>
              </w:rPr>
            </w:pPr>
            <w:r w:rsidRPr="00B1289F">
              <w:rPr>
                <w:rFonts w:ascii="Times New Roman" w:hAnsi="Times New Roman" w:cs="Times New Roman"/>
                <w:sz w:val="24"/>
                <w:szCs w:val="24"/>
              </w:rPr>
              <w:t>The mission of the University of Minnesota College of Education and Human Development is to contribute to a just and sustainable future through engagement with the local and global communities to enhance human learning and development at all stages of the life span.</w:t>
            </w:r>
          </w:p>
          <w:p w:rsidR="00261B28" w:rsidRPr="00B1289F" w:rsidRDefault="00261B28">
            <w:pPr>
              <w:rPr>
                <w:szCs w:val="20"/>
              </w:rPr>
            </w:pPr>
          </w:p>
          <w:p w:rsidR="00261B28" w:rsidRPr="00B1289F" w:rsidRDefault="00261B28"/>
          <w:p w:rsidR="00261B28" w:rsidRPr="00B1289F" w:rsidRDefault="00261B28">
            <w:pPr>
              <w:pStyle w:val="Heading3"/>
              <w:rPr>
                <w:rFonts w:ascii="Times New Roman" w:hAnsi="Times New Roman"/>
                <w:bCs w:val="0"/>
              </w:rPr>
            </w:pPr>
            <w:r w:rsidRPr="00B1289F">
              <w:rPr>
                <w:rFonts w:ascii="Times New Roman" w:hAnsi="Times New Roman"/>
                <w:bCs w:val="0"/>
              </w:rPr>
              <w:t>Department of Educational Psychology Mission Statement</w:t>
            </w:r>
          </w:p>
          <w:p w:rsidR="00261B28" w:rsidRPr="00B1289F" w:rsidRDefault="00261B28">
            <w:pPr>
              <w:rPr>
                <w:sz w:val="22"/>
              </w:rPr>
            </w:pPr>
          </w:p>
          <w:p w:rsidR="00261B28" w:rsidRPr="00B1289F" w:rsidRDefault="00261B28">
            <w:r w:rsidRPr="00B1289F">
              <w:t>Educational psychology involves the study of cognitive, emotional, and social learning processes that underlie education and human development across the lifespan. Research in educational psychology advances scientific knowledge of those processes and their application in diverse educational and community settings. The department provides training in the psychological foundations of education, research methods, and the practice and science of counseling psychology, school psychology, and special education. Faculty and students provide leadership and consultation to the state, the nation, and the international community in each area of educational psychology. The department’s scholarship and teaching enhance professional practice in schools and universities, community mental health agencies, business and industrial organizations, early childhood programs, and government agencies.</w:t>
            </w:r>
          </w:p>
          <w:p w:rsidR="00261B28" w:rsidRPr="00B1289F" w:rsidRDefault="00261B28">
            <w:pPr>
              <w:rPr>
                <w:b/>
                <w:bCs/>
              </w:rPr>
            </w:pPr>
          </w:p>
          <w:p w:rsidR="00261B28" w:rsidRPr="00B1289F" w:rsidRDefault="00261B28">
            <w:pPr>
              <w:rPr>
                <w:b/>
                <w:bCs/>
              </w:rPr>
            </w:pPr>
          </w:p>
          <w:p w:rsidR="00261B28" w:rsidRPr="00B1289F" w:rsidRDefault="00261B28">
            <w:pPr>
              <w:pStyle w:val="Heading3"/>
              <w:rPr>
                <w:rFonts w:ascii="Times New Roman" w:hAnsi="Times New Roman"/>
                <w:b w:val="0"/>
              </w:rPr>
            </w:pPr>
            <w:r w:rsidRPr="00B1289F">
              <w:rPr>
                <w:rFonts w:ascii="Times New Roman" w:hAnsi="Times New Roman"/>
              </w:rPr>
              <w:t>Quantitative Methods in Education Mission Statement</w:t>
            </w:r>
          </w:p>
          <w:p w:rsidR="00261B28" w:rsidRPr="00B1289F" w:rsidRDefault="00261B28"/>
          <w:p w:rsidR="00261B28" w:rsidRPr="00B1289F" w:rsidRDefault="00261B28">
            <w:r w:rsidRPr="00B1289F">
              <w:rPr>
                <w:rFonts w:eastAsia="Calibri"/>
                <w:bCs/>
              </w:rPr>
              <w:t>To prepare students to become cutting-edge professionals in educational measurement, evaluation, statistics, and statistics education, through excellence in teaching, research, and service</w:t>
            </w:r>
            <w:proofErr w:type="gramStart"/>
            <w:r w:rsidRPr="00B1289F">
              <w:rPr>
                <w:rFonts w:eastAsia="Calibri"/>
                <w:bCs/>
              </w:rPr>
              <w:t>;</w:t>
            </w:r>
            <w:proofErr w:type="gramEnd"/>
            <w:r w:rsidRPr="00B1289F">
              <w:rPr>
                <w:rFonts w:eastAsia="Calibri"/>
                <w:bCs/>
              </w:rPr>
              <w:t xml:space="preserve"> and through investigating and developing research methodology in education.</w:t>
            </w:r>
          </w:p>
          <w:p w:rsidR="00261B28" w:rsidRPr="00B1289F" w:rsidRDefault="00261B28"/>
        </w:tc>
      </w:tr>
    </w:tbl>
    <w:p w:rsidR="00261B28" w:rsidRPr="00B1289F" w:rsidRDefault="00261B28" w:rsidP="00261B28">
      <w:pPr>
        <w:rPr>
          <w:szCs w:val="20"/>
        </w:rPr>
      </w:pPr>
      <w:bookmarkStart w:id="1" w:name="evaluation"/>
      <w:bookmarkEnd w:id="1"/>
    </w:p>
    <w:p w:rsidR="00261B28" w:rsidRPr="00B1289F" w:rsidRDefault="00261B28" w:rsidP="00261B28">
      <w:pPr>
        <w:jc w:val="center"/>
        <w:rPr>
          <w:b/>
        </w:rPr>
      </w:pPr>
      <w:r w:rsidRPr="00B1289F">
        <w:rPr>
          <w:b/>
        </w:rPr>
        <w:t>Six Intellectual Principles of Ph.D./</w:t>
      </w:r>
      <w:proofErr w:type="spellStart"/>
      <w:r w:rsidRPr="00B1289F">
        <w:rPr>
          <w:b/>
        </w:rPr>
        <w:t>Ed.D</w:t>
      </w:r>
      <w:proofErr w:type="spellEnd"/>
      <w:r w:rsidRPr="00B1289F">
        <w:rPr>
          <w:b/>
        </w:rPr>
        <w:t>./Master’s Research Education</w:t>
      </w:r>
    </w:p>
    <w:p w:rsidR="00261B28" w:rsidRPr="00B1289F" w:rsidRDefault="00261B28" w:rsidP="00261B28">
      <w:pPr>
        <w:jc w:val="center"/>
      </w:pPr>
      <w:r w:rsidRPr="00B1289F">
        <w:t>(Currently under review)</w:t>
      </w:r>
    </w:p>
    <w:p w:rsidR="00261B28" w:rsidRPr="00B1289F" w:rsidRDefault="00261B28" w:rsidP="00261B28">
      <w:pPr>
        <w:jc w:val="center"/>
        <w:rPr>
          <w:b/>
        </w:rPr>
      </w:pPr>
    </w:p>
    <w:p w:rsidR="00261B28" w:rsidRPr="00B1289F" w:rsidRDefault="00261B28" w:rsidP="00261B28">
      <w:pPr>
        <w:numPr>
          <w:ilvl w:val="0"/>
          <w:numId w:val="12"/>
        </w:numPr>
        <w:spacing w:line="276" w:lineRule="auto"/>
        <w:ind w:hanging="359"/>
        <w:rPr>
          <w:i/>
        </w:rPr>
      </w:pPr>
      <w:r w:rsidRPr="00B1289F">
        <w:rPr>
          <w:i/>
        </w:rPr>
        <w:t>Scholarly Formation</w:t>
      </w:r>
    </w:p>
    <w:p w:rsidR="00261B28" w:rsidRPr="00B1289F" w:rsidRDefault="00261B28" w:rsidP="00261B28">
      <w:pPr>
        <w:numPr>
          <w:ilvl w:val="0"/>
          <w:numId w:val="12"/>
        </w:numPr>
        <w:spacing w:line="276" w:lineRule="auto"/>
        <w:ind w:hanging="359"/>
        <w:rPr>
          <w:i/>
        </w:rPr>
      </w:pPr>
      <w:r w:rsidRPr="00B1289F">
        <w:rPr>
          <w:i/>
        </w:rPr>
        <w:t>Communication</w:t>
      </w:r>
    </w:p>
    <w:p w:rsidR="00261B28" w:rsidRPr="00B1289F" w:rsidRDefault="00261B28" w:rsidP="00261B28">
      <w:pPr>
        <w:numPr>
          <w:ilvl w:val="0"/>
          <w:numId w:val="12"/>
        </w:numPr>
        <w:spacing w:line="276" w:lineRule="auto"/>
        <w:ind w:hanging="359"/>
        <w:rPr>
          <w:i/>
        </w:rPr>
      </w:pPr>
      <w:r w:rsidRPr="00B1289F">
        <w:rPr>
          <w:i/>
        </w:rPr>
        <w:t>Leadership and Collaborative Skills</w:t>
      </w:r>
    </w:p>
    <w:p w:rsidR="00261B28" w:rsidRPr="00B1289F" w:rsidRDefault="00261B28" w:rsidP="00261B28">
      <w:pPr>
        <w:pStyle w:val="ListParagraph"/>
        <w:numPr>
          <w:ilvl w:val="0"/>
          <w:numId w:val="12"/>
        </w:numPr>
        <w:spacing w:line="276" w:lineRule="auto"/>
        <w:ind w:hanging="360"/>
        <w:rPr>
          <w:i/>
        </w:rPr>
      </w:pPr>
      <w:r w:rsidRPr="00B1289F">
        <w:rPr>
          <w:i/>
        </w:rPr>
        <w:t>Global Context</w:t>
      </w:r>
    </w:p>
    <w:p w:rsidR="00261B28" w:rsidRPr="00B1289F" w:rsidRDefault="00261B28" w:rsidP="00261B28">
      <w:pPr>
        <w:pStyle w:val="ListParagraph"/>
        <w:numPr>
          <w:ilvl w:val="0"/>
          <w:numId w:val="12"/>
        </w:numPr>
        <w:spacing w:line="276" w:lineRule="auto"/>
        <w:ind w:hanging="360"/>
        <w:rPr>
          <w:i/>
        </w:rPr>
      </w:pPr>
      <w:r w:rsidRPr="00B1289F">
        <w:rPr>
          <w:i/>
        </w:rPr>
        <w:t>Professional Responsibility</w:t>
      </w:r>
    </w:p>
    <w:p w:rsidR="00261B28" w:rsidRPr="00B1289F" w:rsidRDefault="00261B28" w:rsidP="00261B28">
      <w:pPr>
        <w:pStyle w:val="ListParagraph"/>
        <w:numPr>
          <w:ilvl w:val="0"/>
          <w:numId w:val="12"/>
        </w:numPr>
        <w:spacing w:line="276" w:lineRule="auto"/>
        <w:ind w:hanging="360"/>
        <w:rPr>
          <w:i/>
        </w:rPr>
      </w:pPr>
      <w:r w:rsidRPr="00B1289F">
        <w:rPr>
          <w:i/>
        </w:rPr>
        <w:t>Personal and Professional Management Skills</w:t>
      </w:r>
    </w:p>
    <w:p w:rsidR="00FA1B98" w:rsidRDefault="00FA1B98" w:rsidP="00261B28">
      <w:pPr>
        <w:rPr>
          <w:bCs/>
          <w:i/>
        </w:rPr>
      </w:pPr>
    </w:p>
    <w:p w:rsidR="00285355" w:rsidRDefault="00285355" w:rsidP="00285355">
      <w:pPr>
        <w:pStyle w:val="NormalWeb"/>
        <w:spacing w:before="0" w:beforeAutospacing="0" w:after="0" w:afterAutospacing="0"/>
        <w:rPr>
          <w:sz w:val="19"/>
          <w:szCs w:val="19"/>
        </w:rPr>
      </w:pPr>
      <w:r>
        <w:rPr>
          <w:rFonts w:ascii="Arial" w:hAnsi="Arial" w:cs="Arial"/>
          <w:i/>
          <w:iCs/>
          <w:color w:val="000000"/>
          <w:sz w:val="20"/>
          <w:szCs w:val="20"/>
        </w:rPr>
        <w:t>We affirm the contributions of all people in our community. Diversity and equity are at the core of our mission in the College of Education and Human Development.</w:t>
      </w:r>
    </w:p>
    <w:p w:rsidR="00285355" w:rsidRDefault="00285355" w:rsidP="00285355">
      <w:pPr>
        <w:pStyle w:val="NormalWeb"/>
        <w:spacing w:before="0" w:beforeAutospacing="0" w:after="0" w:afterAutospacing="0"/>
        <w:rPr>
          <w:sz w:val="19"/>
          <w:szCs w:val="19"/>
        </w:rPr>
      </w:pPr>
    </w:p>
    <w:p w:rsidR="00285355" w:rsidRDefault="00285355" w:rsidP="00285355">
      <w:pPr>
        <w:pStyle w:val="NormalWeb"/>
        <w:spacing w:before="0" w:beforeAutospacing="0" w:after="0" w:afterAutospacing="0"/>
        <w:rPr>
          <w:sz w:val="19"/>
          <w:szCs w:val="19"/>
        </w:rPr>
      </w:pPr>
      <w:r>
        <w:rPr>
          <w:rFonts w:ascii="Arial" w:hAnsi="Arial" w:cs="Arial"/>
          <w:i/>
          <w:iCs/>
          <w:color w:val="000000"/>
          <w:sz w:val="20"/>
          <w:szCs w:val="20"/>
        </w:rPr>
        <w:t xml:space="preserve">We explicitly reject bias, discrimination, and exclusion </w:t>
      </w:r>
      <w:proofErr w:type="gramStart"/>
      <w:r>
        <w:rPr>
          <w:rFonts w:ascii="Arial" w:hAnsi="Arial" w:cs="Arial"/>
          <w:i/>
          <w:iCs/>
          <w:color w:val="000000"/>
          <w:sz w:val="20"/>
          <w:szCs w:val="20"/>
        </w:rPr>
        <w:t>on the basis of</w:t>
      </w:r>
      <w:proofErr w:type="gramEnd"/>
      <w:r>
        <w:rPr>
          <w:rFonts w:ascii="Arial" w:hAnsi="Arial" w:cs="Arial"/>
          <w:i/>
          <w:iCs/>
          <w:color w:val="000000"/>
          <w:sz w:val="20"/>
          <w:szCs w:val="20"/>
        </w:rPr>
        <w:t xml:space="preserve"> race, color, creed, religion, national origin, gender, age, marital status, disability, public assistance status, veteran status, sexual orientation, gender identity, or gender expression.</w:t>
      </w:r>
    </w:p>
    <w:p w:rsidR="00285355" w:rsidRDefault="00285355" w:rsidP="00285355">
      <w:pPr>
        <w:pStyle w:val="NormalWeb"/>
        <w:spacing w:before="0" w:beforeAutospacing="0" w:after="0" w:afterAutospacing="0"/>
        <w:rPr>
          <w:sz w:val="19"/>
          <w:szCs w:val="19"/>
        </w:rPr>
      </w:pPr>
    </w:p>
    <w:p w:rsidR="00285355" w:rsidRPr="00B1289F" w:rsidRDefault="00285355" w:rsidP="00285355">
      <w:pPr>
        <w:rPr>
          <w:bCs/>
          <w:i/>
        </w:rPr>
      </w:pPr>
      <w:r>
        <w:rPr>
          <w:rFonts w:ascii="Arial" w:hAnsi="Arial" w:cs="Arial"/>
          <w:i/>
          <w:iCs/>
          <w:color w:val="000000"/>
          <w:sz w:val="20"/>
          <w:szCs w:val="20"/>
        </w:rPr>
        <w:t>We all are responsible for recognizing, confronting, and addressing bias and discrimination and diligently working for positive change in support of equity and diversity.</w:t>
      </w:r>
    </w:p>
    <w:sectPr w:rsidR="00285355" w:rsidRPr="00B1289F" w:rsidSect="001D0181">
      <w:footerReference w:type="even" r:id="rId35"/>
      <w:footerReference w:type="default" r:id="rId36"/>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0CA" w:rsidRDefault="00FF70CA">
      <w:r>
        <w:separator/>
      </w:r>
    </w:p>
  </w:endnote>
  <w:endnote w:type="continuationSeparator" w:id="0">
    <w:p w:rsidR="00FF70CA" w:rsidRDefault="00FF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59D" w:rsidRDefault="00FD359D" w:rsidP="000824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359D" w:rsidRDefault="00FD359D" w:rsidP="00035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59D" w:rsidRPr="00B9538C" w:rsidRDefault="00FD359D" w:rsidP="00082423">
    <w:pPr>
      <w:pStyle w:val="Footer"/>
      <w:framePr w:wrap="around" w:vAnchor="text" w:hAnchor="margin" w:xAlign="right" w:y="1"/>
      <w:rPr>
        <w:rStyle w:val="PageNumber"/>
        <w:sz w:val="20"/>
        <w:szCs w:val="20"/>
      </w:rPr>
    </w:pPr>
    <w:r w:rsidRPr="00B9538C">
      <w:rPr>
        <w:rStyle w:val="PageNumber"/>
        <w:sz w:val="20"/>
        <w:szCs w:val="20"/>
      </w:rPr>
      <w:fldChar w:fldCharType="begin"/>
    </w:r>
    <w:r w:rsidRPr="00B9538C">
      <w:rPr>
        <w:rStyle w:val="PageNumber"/>
        <w:sz w:val="20"/>
        <w:szCs w:val="20"/>
      </w:rPr>
      <w:instrText xml:space="preserve">PAGE  </w:instrText>
    </w:r>
    <w:r w:rsidRPr="00B9538C">
      <w:rPr>
        <w:rStyle w:val="PageNumber"/>
        <w:sz w:val="20"/>
        <w:szCs w:val="20"/>
      </w:rPr>
      <w:fldChar w:fldCharType="separate"/>
    </w:r>
    <w:r w:rsidR="00113351">
      <w:rPr>
        <w:rStyle w:val="PageNumber"/>
        <w:noProof/>
        <w:sz w:val="20"/>
        <w:szCs w:val="20"/>
      </w:rPr>
      <w:t>3</w:t>
    </w:r>
    <w:r w:rsidRPr="00B9538C">
      <w:rPr>
        <w:rStyle w:val="PageNumber"/>
        <w:sz w:val="20"/>
        <w:szCs w:val="20"/>
      </w:rPr>
      <w:fldChar w:fldCharType="end"/>
    </w:r>
  </w:p>
  <w:p w:rsidR="00FD359D" w:rsidRPr="00B9538C" w:rsidRDefault="00FD359D" w:rsidP="003071A7">
    <w:pPr>
      <w:pStyle w:val="Footer"/>
      <w:ind w:right="360"/>
      <w:rPr>
        <w:sz w:val="20"/>
        <w:szCs w:val="20"/>
      </w:rPr>
    </w:pPr>
    <w:r w:rsidRPr="00B9538C">
      <w:rPr>
        <w:sz w:val="20"/>
        <w:szCs w:val="20"/>
      </w:rPr>
      <w:t>EPSY 8225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0CA" w:rsidRDefault="00FF70CA">
      <w:r>
        <w:separator/>
      </w:r>
    </w:p>
  </w:footnote>
  <w:footnote w:type="continuationSeparator" w:id="0">
    <w:p w:rsidR="00FF70CA" w:rsidRDefault="00FF7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82F"/>
    <w:multiLevelType w:val="hybridMultilevel"/>
    <w:tmpl w:val="E3CA7E9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802D96"/>
    <w:multiLevelType w:val="hybridMultilevel"/>
    <w:tmpl w:val="82127F2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21707"/>
    <w:multiLevelType w:val="hybridMultilevel"/>
    <w:tmpl w:val="3C8E6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3488D"/>
    <w:multiLevelType w:val="hybridMultilevel"/>
    <w:tmpl w:val="4BFC85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6F6936"/>
    <w:multiLevelType w:val="hybridMultilevel"/>
    <w:tmpl w:val="018CD4AC"/>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297E88"/>
    <w:multiLevelType w:val="hybridMultilevel"/>
    <w:tmpl w:val="E8AA406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9D72FA"/>
    <w:multiLevelType w:val="multilevel"/>
    <w:tmpl w:val="7CEC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5E336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FD3C63"/>
    <w:multiLevelType w:val="hybridMultilevel"/>
    <w:tmpl w:val="B8FC4F44"/>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600C53"/>
    <w:multiLevelType w:val="hybridMultilevel"/>
    <w:tmpl w:val="DC4611A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706B8"/>
    <w:multiLevelType w:val="multilevel"/>
    <w:tmpl w:val="D976170E"/>
    <w:lvl w:ilvl="0">
      <w:start w:val="1"/>
      <w:numFmt w:val="decimal"/>
      <w:lvlText w:val="%1."/>
      <w:lvlJc w:val="left"/>
      <w:pPr>
        <w:ind w:left="720" w:firstLine="360"/>
      </w:pPr>
      <w:rPr>
        <w:b w:val="0"/>
        <w:i w:val="0"/>
        <w:smallCaps w:val="0"/>
        <w:strike w:val="0"/>
        <w:dstrike w:val="0"/>
        <w:color w:val="000000"/>
        <w:sz w:val="22"/>
        <w:u w:val="none"/>
        <w:effect w:val="none"/>
        <w:vertAlign w:val="baseline"/>
      </w:rPr>
    </w:lvl>
    <w:lvl w:ilvl="1">
      <w:start w:val="1"/>
      <w:numFmt w:val="bullet"/>
      <w:lvlText w:val="○"/>
      <w:lvlJc w:val="left"/>
      <w:pPr>
        <w:ind w:left="1440" w:firstLine="1080"/>
      </w:pPr>
      <w:rPr>
        <w:rFonts w:ascii="Arial" w:eastAsia="Arial" w:hAnsi="Arial" w:cs="Arial"/>
        <w:b w:val="0"/>
        <w:i w:val="0"/>
        <w:smallCaps w:val="0"/>
        <w:strike w:val="0"/>
        <w:dstrike w:val="0"/>
        <w:color w:val="000000"/>
        <w:sz w:val="22"/>
        <w:u w:val="none"/>
        <w:effect w:val="none"/>
        <w:vertAlign w:val="baseline"/>
      </w:rPr>
    </w:lvl>
    <w:lvl w:ilvl="2">
      <w:start w:val="1"/>
      <w:numFmt w:val="bullet"/>
      <w:lvlText w:val="■"/>
      <w:lvlJc w:val="left"/>
      <w:pPr>
        <w:ind w:left="2160" w:firstLine="1800"/>
      </w:pPr>
      <w:rPr>
        <w:rFonts w:ascii="Arial" w:eastAsia="Arial" w:hAnsi="Arial" w:cs="Arial"/>
        <w:b w:val="0"/>
        <w:i w:val="0"/>
        <w:smallCaps w:val="0"/>
        <w:strike w:val="0"/>
        <w:dstrike w:val="0"/>
        <w:color w:val="000000"/>
        <w:sz w:val="22"/>
        <w:u w:val="none"/>
        <w:effect w:val="none"/>
        <w:vertAlign w:val="baseline"/>
      </w:rPr>
    </w:lvl>
    <w:lvl w:ilvl="3">
      <w:start w:val="1"/>
      <w:numFmt w:val="bullet"/>
      <w:lvlText w:val="●"/>
      <w:lvlJc w:val="left"/>
      <w:pPr>
        <w:ind w:left="2880" w:firstLine="2520"/>
      </w:pPr>
      <w:rPr>
        <w:rFonts w:ascii="Arial" w:eastAsia="Arial" w:hAnsi="Arial" w:cs="Arial"/>
        <w:b w:val="0"/>
        <w:i w:val="0"/>
        <w:smallCaps w:val="0"/>
        <w:strike w:val="0"/>
        <w:dstrike w:val="0"/>
        <w:color w:val="000000"/>
        <w:sz w:val="22"/>
        <w:u w:val="none"/>
        <w:effect w:val="none"/>
        <w:vertAlign w:val="baseline"/>
      </w:rPr>
    </w:lvl>
    <w:lvl w:ilvl="4">
      <w:start w:val="1"/>
      <w:numFmt w:val="bullet"/>
      <w:lvlText w:val="○"/>
      <w:lvlJc w:val="left"/>
      <w:pPr>
        <w:ind w:left="3600" w:firstLine="3240"/>
      </w:pPr>
      <w:rPr>
        <w:rFonts w:ascii="Arial" w:eastAsia="Arial" w:hAnsi="Arial" w:cs="Arial"/>
        <w:b w:val="0"/>
        <w:i w:val="0"/>
        <w:smallCaps w:val="0"/>
        <w:strike w:val="0"/>
        <w:dstrike w:val="0"/>
        <w:color w:val="000000"/>
        <w:sz w:val="22"/>
        <w:u w:val="none"/>
        <w:effect w:val="none"/>
        <w:vertAlign w:val="baseline"/>
      </w:rPr>
    </w:lvl>
    <w:lvl w:ilvl="5">
      <w:start w:val="1"/>
      <w:numFmt w:val="bullet"/>
      <w:lvlText w:val="■"/>
      <w:lvlJc w:val="left"/>
      <w:pPr>
        <w:ind w:left="4320" w:firstLine="3960"/>
      </w:pPr>
      <w:rPr>
        <w:rFonts w:ascii="Arial" w:eastAsia="Arial" w:hAnsi="Arial" w:cs="Arial"/>
        <w:b w:val="0"/>
        <w:i w:val="0"/>
        <w:smallCaps w:val="0"/>
        <w:strike w:val="0"/>
        <w:dstrike w:val="0"/>
        <w:color w:val="000000"/>
        <w:sz w:val="22"/>
        <w:u w:val="none"/>
        <w:effect w:val="none"/>
        <w:vertAlign w:val="baseline"/>
      </w:rPr>
    </w:lvl>
    <w:lvl w:ilvl="6">
      <w:start w:val="1"/>
      <w:numFmt w:val="bullet"/>
      <w:lvlText w:val="●"/>
      <w:lvlJc w:val="left"/>
      <w:pPr>
        <w:ind w:left="5040" w:firstLine="4680"/>
      </w:pPr>
      <w:rPr>
        <w:rFonts w:ascii="Arial" w:eastAsia="Arial" w:hAnsi="Arial" w:cs="Arial"/>
        <w:b w:val="0"/>
        <w:i w:val="0"/>
        <w:smallCaps w:val="0"/>
        <w:strike w:val="0"/>
        <w:dstrike w:val="0"/>
        <w:color w:val="000000"/>
        <w:sz w:val="22"/>
        <w:u w:val="none"/>
        <w:effect w:val="none"/>
        <w:vertAlign w:val="baseline"/>
      </w:rPr>
    </w:lvl>
    <w:lvl w:ilvl="7">
      <w:start w:val="1"/>
      <w:numFmt w:val="bullet"/>
      <w:lvlText w:val="○"/>
      <w:lvlJc w:val="left"/>
      <w:pPr>
        <w:ind w:left="5760" w:firstLine="5400"/>
      </w:pPr>
      <w:rPr>
        <w:rFonts w:ascii="Arial" w:eastAsia="Arial" w:hAnsi="Arial" w:cs="Arial"/>
        <w:b w:val="0"/>
        <w:i w:val="0"/>
        <w:smallCaps w:val="0"/>
        <w:strike w:val="0"/>
        <w:dstrike w:val="0"/>
        <w:color w:val="000000"/>
        <w:sz w:val="22"/>
        <w:u w:val="none"/>
        <w:effect w:val="none"/>
        <w:vertAlign w:val="baseline"/>
      </w:rPr>
    </w:lvl>
    <w:lvl w:ilvl="8">
      <w:start w:val="1"/>
      <w:numFmt w:val="bullet"/>
      <w:lvlText w:val="■"/>
      <w:lvlJc w:val="left"/>
      <w:pPr>
        <w:ind w:left="6480" w:firstLine="6120"/>
      </w:pPr>
      <w:rPr>
        <w:rFonts w:ascii="Arial" w:eastAsia="Arial" w:hAnsi="Arial" w:cs="Arial"/>
        <w:b w:val="0"/>
        <w:i w:val="0"/>
        <w:smallCaps w:val="0"/>
        <w:strike w:val="0"/>
        <w:dstrike w:val="0"/>
        <w:color w:val="000000"/>
        <w:sz w:val="22"/>
        <w:u w:val="none"/>
        <w:effect w:val="none"/>
        <w:vertAlign w:val="baseline"/>
      </w:rPr>
    </w:lvl>
  </w:abstractNum>
  <w:abstractNum w:abstractNumId="11" w15:restartNumberingAfterBreak="0">
    <w:nsid w:val="2D7F1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26430B"/>
    <w:multiLevelType w:val="hybridMultilevel"/>
    <w:tmpl w:val="9ADC71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F7D5F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327C78"/>
    <w:multiLevelType w:val="hybridMultilevel"/>
    <w:tmpl w:val="20C224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422B41"/>
    <w:multiLevelType w:val="hybridMultilevel"/>
    <w:tmpl w:val="957E9792"/>
    <w:lvl w:ilvl="0" w:tplc="78DE7A2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3D2903"/>
    <w:multiLevelType w:val="hybridMultilevel"/>
    <w:tmpl w:val="2C0A0346"/>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BB7C31"/>
    <w:multiLevelType w:val="hybridMultilevel"/>
    <w:tmpl w:val="6AFE02D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3144E81"/>
    <w:multiLevelType w:val="hybridMultilevel"/>
    <w:tmpl w:val="FB72F61E"/>
    <w:lvl w:ilvl="0" w:tplc="78DE7A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1E02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50D518B"/>
    <w:multiLevelType w:val="hybridMultilevel"/>
    <w:tmpl w:val="11F8DDC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212D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DD52262"/>
    <w:multiLevelType w:val="hybridMultilevel"/>
    <w:tmpl w:val="75BC2512"/>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5"/>
  </w:num>
  <w:num w:numId="3">
    <w:abstractNumId w:val="17"/>
  </w:num>
  <w:num w:numId="4">
    <w:abstractNumId w:val="5"/>
  </w:num>
  <w:num w:numId="5">
    <w:abstractNumId w:val="0"/>
  </w:num>
  <w:num w:numId="6">
    <w:abstractNumId w:val="21"/>
  </w:num>
  <w:num w:numId="7">
    <w:abstractNumId w:val="19"/>
  </w:num>
  <w:num w:numId="8">
    <w:abstractNumId w:val="13"/>
  </w:num>
  <w:num w:numId="9">
    <w:abstractNumId w:val="11"/>
  </w:num>
  <w:num w:numId="10">
    <w:abstractNumId w:val="6"/>
  </w:num>
  <w:num w:numId="11">
    <w:abstractNumId w:val="3"/>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1"/>
  </w:num>
  <w:num w:numId="15">
    <w:abstractNumId w:val="9"/>
  </w:num>
  <w:num w:numId="16">
    <w:abstractNumId w:val="12"/>
  </w:num>
  <w:num w:numId="17">
    <w:abstractNumId w:val="22"/>
  </w:num>
  <w:num w:numId="18">
    <w:abstractNumId w:val="16"/>
  </w:num>
  <w:num w:numId="19">
    <w:abstractNumId w:val="4"/>
  </w:num>
  <w:num w:numId="20">
    <w:abstractNumId w:val="8"/>
  </w:num>
  <w:num w:numId="21">
    <w:abstractNumId w:val="14"/>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81"/>
    <w:rsid w:val="00013E42"/>
    <w:rsid w:val="000147AB"/>
    <w:rsid w:val="00027999"/>
    <w:rsid w:val="00035CCC"/>
    <w:rsid w:val="00051AFA"/>
    <w:rsid w:val="00056F8D"/>
    <w:rsid w:val="00062688"/>
    <w:rsid w:val="00063497"/>
    <w:rsid w:val="00081A2C"/>
    <w:rsid w:val="00082423"/>
    <w:rsid w:val="000941C1"/>
    <w:rsid w:val="00096DA7"/>
    <w:rsid w:val="000A42A7"/>
    <w:rsid w:val="000A71F4"/>
    <w:rsid w:val="000B5FC4"/>
    <w:rsid w:val="000D6FA9"/>
    <w:rsid w:val="000F75D0"/>
    <w:rsid w:val="001006DA"/>
    <w:rsid w:val="00103C22"/>
    <w:rsid w:val="00110493"/>
    <w:rsid w:val="00113351"/>
    <w:rsid w:val="00133115"/>
    <w:rsid w:val="00155882"/>
    <w:rsid w:val="00172A04"/>
    <w:rsid w:val="00195DE7"/>
    <w:rsid w:val="00197D28"/>
    <w:rsid w:val="001A1152"/>
    <w:rsid w:val="001D0181"/>
    <w:rsid w:val="001D7E47"/>
    <w:rsid w:val="001E1FBE"/>
    <w:rsid w:val="001E5470"/>
    <w:rsid w:val="002007CA"/>
    <w:rsid w:val="00201ED3"/>
    <w:rsid w:val="0022331D"/>
    <w:rsid w:val="002340C3"/>
    <w:rsid w:val="00234237"/>
    <w:rsid w:val="00261B28"/>
    <w:rsid w:val="00285355"/>
    <w:rsid w:val="00291C4F"/>
    <w:rsid w:val="002C74EA"/>
    <w:rsid w:val="002F01A5"/>
    <w:rsid w:val="002F22D6"/>
    <w:rsid w:val="003071A7"/>
    <w:rsid w:val="003072C9"/>
    <w:rsid w:val="00316B16"/>
    <w:rsid w:val="00323AD5"/>
    <w:rsid w:val="00325F88"/>
    <w:rsid w:val="00354DDB"/>
    <w:rsid w:val="003570C7"/>
    <w:rsid w:val="00370305"/>
    <w:rsid w:val="003C53DF"/>
    <w:rsid w:val="003F5B24"/>
    <w:rsid w:val="00423FEB"/>
    <w:rsid w:val="00452383"/>
    <w:rsid w:val="00455BBA"/>
    <w:rsid w:val="00490B21"/>
    <w:rsid w:val="004A5B57"/>
    <w:rsid w:val="004D0972"/>
    <w:rsid w:val="004F4BBF"/>
    <w:rsid w:val="004F6B5A"/>
    <w:rsid w:val="00505A06"/>
    <w:rsid w:val="00510D5A"/>
    <w:rsid w:val="0051298E"/>
    <w:rsid w:val="0054102E"/>
    <w:rsid w:val="00550F35"/>
    <w:rsid w:val="00564C6D"/>
    <w:rsid w:val="005733CD"/>
    <w:rsid w:val="005A12F1"/>
    <w:rsid w:val="005B3A78"/>
    <w:rsid w:val="005B3B8E"/>
    <w:rsid w:val="005D05EA"/>
    <w:rsid w:val="00641D34"/>
    <w:rsid w:val="006426A6"/>
    <w:rsid w:val="006434E6"/>
    <w:rsid w:val="00643B6B"/>
    <w:rsid w:val="00643F08"/>
    <w:rsid w:val="00670F98"/>
    <w:rsid w:val="006725F1"/>
    <w:rsid w:val="00672863"/>
    <w:rsid w:val="00682C10"/>
    <w:rsid w:val="006A3C2C"/>
    <w:rsid w:val="006B22AF"/>
    <w:rsid w:val="006B239A"/>
    <w:rsid w:val="006B7028"/>
    <w:rsid w:val="006E2013"/>
    <w:rsid w:val="006E208E"/>
    <w:rsid w:val="006F26CB"/>
    <w:rsid w:val="00715A61"/>
    <w:rsid w:val="007172E3"/>
    <w:rsid w:val="00724746"/>
    <w:rsid w:val="00772D2C"/>
    <w:rsid w:val="00774D12"/>
    <w:rsid w:val="00774F9C"/>
    <w:rsid w:val="00775FAB"/>
    <w:rsid w:val="00783FCC"/>
    <w:rsid w:val="0078697D"/>
    <w:rsid w:val="00787077"/>
    <w:rsid w:val="007931C4"/>
    <w:rsid w:val="00796BAD"/>
    <w:rsid w:val="00797101"/>
    <w:rsid w:val="007A226C"/>
    <w:rsid w:val="007A3CDC"/>
    <w:rsid w:val="007B1812"/>
    <w:rsid w:val="007B37BA"/>
    <w:rsid w:val="007B74A0"/>
    <w:rsid w:val="007D306B"/>
    <w:rsid w:val="007E02F6"/>
    <w:rsid w:val="008113BE"/>
    <w:rsid w:val="0081778E"/>
    <w:rsid w:val="00873848"/>
    <w:rsid w:val="008E6D08"/>
    <w:rsid w:val="00910D23"/>
    <w:rsid w:val="0093777B"/>
    <w:rsid w:val="00950FB2"/>
    <w:rsid w:val="0095318A"/>
    <w:rsid w:val="009712D0"/>
    <w:rsid w:val="0098287C"/>
    <w:rsid w:val="00996367"/>
    <w:rsid w:val="009A4DEC"/>
    <w:rsid w:val="009B696F"/>
    <w:rsid w:val="009C0E46"/>
    <w:rsid w:val="009D41E7"/>
    <w:rsid w:val="009E100B"/>
    <w:rsid w:val="009E63D7"/>
    <w:rsid w:val="009F6991"/>
    <w:rsid w:val="00A250DD"/>
    <w:rsid w:val="00A34BB9"/>
    <w:rsid w:val="00A64B7E"/>
    <w:rsid w:val="00A740C4"/>
    <w:rsid w:val="00A848E7"/>
    <w:rsid w:val="00AA7ACA"/>
    <w:rsid w:val="00B00AE0"/>
    <w:rsid w:val="00B06748"/>
    <w:rsid w:val="00B1289F"/>
    <w:rsid w:val="00B4180E"/>
    <w:rsid w:val="00B54D26"/>
    <w:rsid w:val="00B61557"/>
    <w:rsid w:val="00B64678"/>
    <w:rsid w:val="00B9538C"/>
    <w:rsid w:val="00BA57D6"/>
    <w:rsid w:val="00BF20E6"/>
    <w:rsid w:val="00C30D21"/>
    <w:rsid w:val="00C47BC3"/>
    <w:rsid w:val="00C53FD1"/>
    <w:rsid w:val="00C71445"/>
    <w:rsid w:val="00C72F29"/>
    <w:rsid w:val="00CA48E6"/>
    <w:rsid w:val="00CA7203"/>
    <w:rsid w:val="00CD2846"/>
    <w:rsid w:val="00D22BC2"/>
    <w:rsid w:val="00D33810"/>
    <w:rsid w:val="00D33C3F"/>
    <w:rsid w:val="00D45AF5"/>
    <w:rsid w:val="00D61AEB"/>
    <w:rsid w:val="00D71BC0"/>
    <w:rsid w:val="00D8180A"/>
    <w:rsid w:val="00D87146"/>
    <w:rsid w:val="00D937CC"/>
    <w:rsid w:val="00D93F69"/>
    <w:rsid w:val="00D9471F"/>
    <w:rsid w:val="00DC184E"/>
    <w:rsid w:val="00DC75DF"/>
    <w:rsid w:val="00DE54B0"/>
    <w:rsid w:val="00DF7B1C"/>
    <w:rsid w:val="00E26798"/>
    <w:rsid w:val="00E546DA"/>
    <w:rsid w:val="00E77EAD"/>
    <w:rsid w:val="00E9487A"/>
    <w:rsid w:val="00EA7939"/>
    <w:rsid w:val="00EB08DC"/>
    <w:rsid w:val="00EC1951"/>
    <w:rsid w:val="00EC7891"/>
    <w:rsid w:val="00EE602B"/>
    <w:rsid w:val="00EE64A2"/>
    <w:rsid w:val="00EF128B"/>
    <w:rsid w:val="00EF131A"/>
    <w:rsid w:val="00F12924"/>
    <w:rsid w:val="00F12AE2"/>
    <w:rsid w:val="00F21BBD"/>
    <w:rsid w:val="00F23BA4"/>
    <w:rsid w:val="00F3121D"/>
    <w:rsid w:val="00F3451A"/>
    <w:rsid w:val="00F366CE"/>
    <w:rsid w:val="00F461F4"/>
    <w:rsid w:val="00F46EEC"/>
    <w:rsid w:val="00F67107"/>
    <w:rsid w:val="00F876D9"/>
    <w:rsid w:val="00F93476"/>
    <w:rsid w:val="00F94E15"/>
    <w:rsid w:val="00FA1B98"/>
    <w:rsid w:val="00FA7E49"/>
    <w:rsid w:val="00FC4950"/>
    <w:rsid w:val="00FD043B"/>
    <w:rsid w:val="00FD359D"/>
    <w:rsid w:val="00FD463B"/>
    <w:rsid w:val="00FF0862"/>
    <w:rsid w:val="00FF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D11C5"/>
  <w15:docId w15:val="{6314FCCA-E194-4A6C-94B1-C063C7F4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33C3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33C3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33C3F"/>
    <w:pPr>
      <w:keepNext/>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D0181"/>
    <w:rPr>
      <w:rFonts w:ascii="Courier New" w:hAnsi="Courier New" w:cs="Courier New"/>
      <w:sz w:val="20"/>
      <w:szCs w:val="20"/>
    </w:rPr>
  </w:style>
  <w:style w:type="paragraph" w:styleId="NormalWeb">
    <w:name w:val="Normal (Web)"/>
    <w:basedOn w:val="Normal"/>
    <w:uiPriority w:val="99"/>
    <w:rsid w:val="008113BE"/>
    <w:pPr>
      <w:spacing w:before="100" w:beforeAutospacing="1" w:after="100" w:afterAutospacing="1"/>
    </w:pPr>
  </w:style>
  <w:style w:type="character" w:styleId="Hyperlink">
    <w:name w:val="Hyperlink"/>
    <w:rsid w:val="008113BE"/>
    <w:rPr>
      <w:color w:val="0000FF"/>
      <w:u w:val="single"/>
    </w:rPr>
  </w:style>
  <w:style w:type="paragraph" w:styleId="Footer">
    <w:name w:val="footer"/>
    <w:basedOn w:val="Normal"/>
    <w:rsid w:val="00035CCC"/>
    <w:pPr>
      <w:tabs>
        <w:tab w:val="center" w:pos="4320"/>
        <w:tab w:val="right" w:pos="8640"/>
      </w:tabs>
    </w:pPr>
  </w:style>
  <w:style w:type="character" w:styleId="PageNumber">
    <w:name w:val="page number"/>
    <w:basedOn w:val="DefaultParagraphFont"/>
    <w:rsid w:val="00035CCC"/>
  </w:style>
  <w:style w:type="paragraph" w:styleId="BalloonText">
    <w:name w:val="Balloon Text"/>
    <w:basedOn w:val="Normal"/>
    <w:semiHidden/>
    <w:rsid w:val="00035CCC"/>
    <w:rPr>
      <w:rFonts w:ascii="Tahoma" w:hAnsi="Tahoma" w:cs="Tahoma"/>
      <w:sz w:val="16"/>
      <w:szCs w:val="16"/>
    </w:rPr>
  </w:style>
  <w:style w:type="paragraph" w:styleId="Header">
    <w:name w:val="header"/>
    <w:basedOn w:val="Normal"/>
    <w:rsid w:val="00CD2846"/>
    <w:pPr>
      <w:tabs>
        <w:tab w:val="center" w:pos="4320"/>
        <w:tab w:val="right" w:pos="8640"/>
      </w:tabs>
    </w:pPr>
  </w:style>
  <w:style w:type="paragraph" w:styleId="Title">
    <w:name w:val="Title"/>
    <w:basedOn w:val="Normal"/>
    <w:qFormat/>
    <w:rsid w:val="006426A6"/>
    <w:pPr>
      <w:jc w:val="center"/>
    </w:pPr>
    <w:rPr>
      <w:sz w:val="28"/>
      <w:szCs w:val="20"/>
    </w:rPr>
  </w:style>
  <w:style w:type="paragraph" w:styleId="BodyTextIndent">
    <w:name w:val="Body Text Indent"/>
    <w:basedOn w:val="Normal"/>
    <w:rsid w:val="00D33C3F"/>
    <w:pPr>
      <w:spacing w:before="100" w:beforeAutospacing="1" w:after="100" w:afterAutospacing="1"/>
    </w:pPr>
  </w:style>
  <w:style w:type="character" w:styleId="Strong">
    <w:name w:val="Strong"/>
    <w:qFormat/>
    <w:rsid w:val="00D33C3F"/>
    <w:rPr>
      <w:b/>
      <w:bCs/>
    </w:rPr>
  </w:style>
  <w:style w:type="character" w:customStyle="1" w:styleId="EmailStyle25">
    <w:name w:val="EmailStyle25"/>
    <w:semiHidden/>
    <w:rsid w:val="00FA1B98"/>
    <w:rPr>
      <w:rFonts w:ascii="Arial" w:hAnsi="Arial" w:cs="Arial" w:hint="default"/>
      <w:color w:val="auto"/>
      <w:sz w:val="20"/>
    </w:rPr>
  </w:style>
  <w:style w:type="character" w:customStyle="1" w:styleId="PlainTextChar">
    <w:name w:val="Plain Text Char"/>
    <w:link w:val="PlainText"/>
    <w:uiPriority w:val="99"/>
    <w:rsid w:val="00FA1B98"/>
    <w:rPr>
      <w:rFonts w:ascii="Courier New" w:hAnsi="Courier New" w:cs="Courier New"/>
    </w:rPr>
  </w:style>
  <w:style w:type="paragraph" w:styleId="ListParagraph">
    <w:name w:val="List Paragraph"/>
    <w:basedOn w:val="Normal"/>
    <w:uiPriority w:val="34"/>
    <w:qFormat/>
    <w:rsid w:val="00DF7B1C"/>
    <w:pPr>
      <w:ind w:left="720"/>
      <w:contextualSpacing/>
    </w:pPr>
  </w:style>
  <w:style w:type="table" w:styleId="TableGrid">
    <w:name w:val="Table Grid"/>
    <w:basedOn w:val="TableNormal"/>
    <w:rsid w:val="00EC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D359D"/>
    <w:rPr>
      <w:color w:val="800080" w:themeColor="followedHyperlink"/>
      <w:u w:val="single"/>
    </w:rPr>
  </w:style>
  <w:style w:type="character" w:styleId="Emphasis">
    <w:name w:val="Emphasis"/>
    <w:basedOn w:val="DefaultParagraphFont"/>
    <w:uiPriority w:val="20"/>
    <w:qFormat/>
    <w:rsid w:val="000A42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823">
      <w:bodyDiv w:val="1"/>
      <w:marLeft w:val="0"/>
      <w:marRight w:val="0"/>
      <w:marTop w:val="0"/>
      <w:marBottom w:val="0"/>
      <w:divBdr>
        <w:top w:val="none" w:sz="0" w:space="0" w:color="auto"/>
        <w:left w:val="none" w:sz="0" w:space="0" w:color="auto"/>
        <w:bottom w:val="none" w:sz="0" w:space="0" w:color="auto"/>
        <w:right w:val="none" w:sz="0" w:space="0" w:color="auto"/>
      </w:divBdr>
    </w:div>
    <w:div w:id="77411483">
      <w:bodyDiv w:val="1"/>
      <w:marLeft w:val="0"/>
      <w:marRight w:val="0"/>
      <w:marTop w:val="0"/>
      <w:marBottom w:val="0"/>
      <w:divBdr>
        <w:top w:val="none" w:sz="0" w:space="0" w:color="auto"/>
        <w:left w:val="none" w:sz="0" w:space="0" w:color="auto"/>
        <w:bottom w:val="none" w:sz="0" w:space="0" w:color="auto"/>
        <w:right w:val="none" w:sz="0" w:space="0" w:color="auto"/>
      </w:divBdr>
    </w:div>
    <w:div w:id="353581772">
      <w:bodyDiv w:val="1"/>
      <w:marLeft w:val="0"/>
      <w:marRight w:val="0"/>
      <w:marTop w:val="0"/>
      <w:marBottom w:val="0"/>
      <w:divBdr>
        <w:top w:val="none" w:sz="0" w:space="0" w:color="auto"/>
        <w:left w:val="none" w:sz="0" w:space="0" w:color="auto"/>
        <w:bottom w:val="none" w:sz="0" w:space="0" w:color="auto"/>
        <w:right w:val="none" w:sz="0" w:space="0" w:color="auto"/>
      </w:divBdr>
    </w:div>
    <w:div w:id="550649346">
      <w:bodyDiv w:val="1"/>
      <w:marLeft w:val="0"/>
      <w:marRight w:val="0"/>
      <w:marTop w:val="0"/>
      <w:marBottom w:val="0"/>
      <w:divBdr>
        <w:top w:val="none" w:sz="0" w:space="0" w:color="auto"/>
        <w:left w:val="none" w:sz="0" w:space="0" w:color="auto"/>
        <w:bottom w:val="none" w:sz="0" w:space="0" w:color="auto"/>
        <w:right w:val="none" w:sz="0" w:space="0" w:color="auto"/>
      </w:divBdr>
    </w:div>
    <w:div w:id="570964404">
      <w:bodyDiv w:val="1"/>
      <w:marLeft w:val="0"/>
      <w:marRight w:val="0"/>
      <w:marTop w:val="0"/>
      <w:marBottom w:val="0"/>
      <w:divBdr>
        <w:top w:val="none" w:sz="0" w:space="0" w:color="auto"/>
        <w:left w:val="none" w:sz="0" w:space="0" w:color="auto"/>
        <w:bottom w:val="none" w:sz="0" w:space="0" w:color="auto"/>
        <w:right w:val="none" w:sz="0" w:space="0" w:color="auto"/>
      </w:divBdr>
    </w:div>
    <w:div w:id="662513251">
      <w:bodyDiv w:val="1"/>
      <w:marLeft w:val="0"/>
      <w:marRight w:val="0"/>
      <w:marTop w:val="0"/>
      <w:marBottom w:val="0"/>
      <w:divBdr>
        <w:top w:val="none" w:sz="0" w:space="0" w:color="auto"/>
        <w:left w:val="none" w:sz="0" w:space="0" w:color="auto"/>
        <w:bottom w:val="none" w:sz="0" w:space="0" w:color="auto"/>
        <w:right w:val="none" w:sz="0" w:space="0" w:color="auto"/>
      </w:divBdr>
    </w:div>
    <w:div w:id="717247748">
      <w:bodyDiv w:val="1"/>
      <w:marLeft w:val="0"/>
      <w:marRight w:val="0"/>
      <w:marTop w:val="0"/>
      <w:marBottom w:val="0"/>
      <w:divBdr>
        <w:top w:val="none" w:sz="0" w:space="0" w:color="auto"/>
        <w:left w:val="none" w:sz="0" w:space="0" w:color="auto"/>
        <w:bottom w:val="none" w:sz="0" w:space="0" w:color="auto"/>
        <w:right w:val="none" w:sz="0" w:space="0" w:color="auto"/>
      </w:divBdr>
      <w:divsChild>
        <w:div w:id="1166896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9039547">
      <w:bodyDiv w:val="1"/>
      <w:marLeft w:val="0"/>
      <w:marRight w:val="0"/>
      <w:marTop w:val="0"/>
      <w:marBottom w:val="0"/>
      <w:divBdr>
        <w:top w:val="none" w:sz="0" w:space="0" w:color="auto"/>
        <w:left w:val="none" w:sz="0" w:space="0" w:color="auto"/>
        <w:bottom w:val="none" w:sz="0" w:space="0" w:color="auto"/>
        <w:right w:val="none" w:sz="0" w:space="0" w:color="auto"/>
      </w:divBdr>
    </w:div>
    <w:div w:id="829519650">
      <w:bodyDiv w:val="1"/>
      <w:marLeft w:val="0"/>
      <w:marRight w:val="0"/>
      <w:marTop w:val="0"/>
      <w:marBottom w:val="0"/>
      <w:divBdr>
        <w:top w:val="none" w:sz="0" w:space="0" w:color="auto"/>
        <w:left w:val="none" w:sz="0" w:space="0" w:color="auto"/>
        <w:bottom w:val="none" w:sz="0" w:space="0" w:color="auto"/>
        <w:right w:val="none" w:sz="0" w:space="0" w:color="auto"/>
      </w:divBdr>
    </w:div>
    <w:div w:id="1310590863">
      <w:bodyDiv w:val="1"/>
      <w:marLeft w:val="0"/>
      <w:marRight w:val="0"/>
      <w:marTop w:val="0"/>
      <w:marBottom w:val="0"/>
      <w:divBdr>
        <w:top w:val="none" w:sz="0" w:space="0" w:color="auto"/>
        <w:left w:val="none" w:sz="0" w:space="0" w:color="auto"/>
        <w:bottom w:val="none" w:sz="0" w:space="0" w:color="auto"/>
        <w:right w:val="none" w:sz="0" w:space="0" w:color="auto"/>
      </w:divBdr>
    </w:div>
    <w:div w:id="140529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org/content/dam/act/unsecured/documents/ACT_RR97-03.pdf" TargetMode="External"/><Relationship Id="rId13" Type="http://schemas.openxmlformats.org/officeDocument/2006/relationships/hyperlink" Target="http://www.edmeasurement.net/8224/Herman1992.pdf" TargetMode="External"/><Relationship Id="rId18" Type="http://schemas.openxmlformats.org/officeDocument/2006/relationships/hyperlink" Target="https://primo.lib.umn.edu/primo-explore/fulldisplay?docid=TN_ericEJ448067&amp;context=PC&amp;vid=TWINCITIES&amp;search_scope=mncat_discovery&amp;tab=article_discovery&amp;lang=en_US" TargetMode="External"/><Relationship Id="rId26" Type="http://schemas.openxmlformats.org/officeDocument/2006/relationships/hyperlink" Target="http://www1.umn.edu/oscai/integrity/student/index.html" TargetMode="External"/><Relationship Id="rId3" Type="http://schemas.openxmlformats.org/officeDocument/2006/relationships/settings" Target="settings.xml"/><Relationship Id="rId21" Type="http://schemas.openxmlformats.org/officeDocument/2006/relationships/hyperlink" Target="http://policy.umn.edu/Policies/Education/Education/MAKEUPWORK.html" TargetMode="External"/><Relationship Id="rId34" Type="http://schemas.openxmlformats.org/officeDocument/2006/relationships/hyperlink" Target="http://www.mentalhealth.umn.edu" TargetMode="External"/><Relationship Id="rId7" Type="http://schemas.openxmlformats.org/officeDocument/2006/relationships/hyperlink" Target="https://www.apa.org/science/programs/testing/standards.aspx" TargetMode="External"/><Relationship Id="rId12" Type="http://schemas.openxmlformats.org/officeDocument/2006/relationships/hyperlink" Target="https://scale.stanford.edu/system/files/beyond-basic-skills-role-performance-assessment-achieving-21st-century-standards-learning.pdf" TargetMode="External"/><Relationship Id="rId17" Type="http://schemas.openxmlformats.org/officeDocument/2006/relationships/hyperlink" Target="https://nces.ed.gov/pubs/96802.pdf" TargetMode="External"/><Relationship Id="rId25" Type="http://schemas.openxmlformats.org/officeDocument/2006/relationships/hyperlink" Target="http://policy.umn.edu/Policies/Education/Education/INSTRUCTORRESP.html" TargetMode="External"/><Relationship Id="rId33" Type="http://schemas.openxmlformats.org/officeDocument/2006/relationships/hyperlink" Target="https://diversity.umn.edu/disabilit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ale.stanford.edu/system/files/performance-assessment-state-art.pdf" TargetMode="External"/><Relationship Id="rId20" Type="http://schemas.openxmlformats.org/officeDocument/2006/relationships/hyperlink" Target="https://wac.colostate.edu/books/eportfolios/willsrice.pdf" TargetMode="External"/><Relationship Id="rId29" Type="http://schemas.openxmlformats.org/officeDocument/2006/relationships/hyperlink" Target="http://policy.umn.edu/Policies/Education/Education/STUDENTRESP.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imo.lib.umn.edu/primo-explore/fulldisplay?docid=TN_wj10.1111/j.1745-3992.1993.tb00525.x&amp;context=PC&amp;vid=TWINCITIES&amp;search_scope=mncat_discovery&amp;tab=article_discovery&amp;lang=en_US" TargetMode="External"/><Relationship Id="rId24" Type="http://schemas.openxmlformats.org/officeDocument/2006/relationships/hyperlink" Target="http://onestop.umn.edu/onestop/" TargetMode="External"/><Relationship Id="rId32" Type="http://schemas.openxmlformats.org/officeDocument/2006/relationships/hyperlink" Target="http://regents.umn.edu/sites/default/files/policies/Equity_Diversity_EO_AA.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iles.eric.ed.gov/fulltext/ED433344.pdf" TargetMode="External"/><Relationship Id="rId23" Type="http://schemas.openxmlformats.org/officeDocument/2006/relationships/hyperlink" Target="http://policy.umn.edu/Policies/Education/Education/GRADINGTRANSCRIPTS.html" TargetMode="External"/><Relationship Id="rId28" Type="http://schemas.openxmlformats.org/officeDocument/2006/relationships/hyperlink" Target="http://policy.umn.edu/Policies/Education/Education/STUDENTRESP.html" TargetMode="External"/><Relationship Id="rId36" Type="http://schemas.openxmlformats.org/officeDocument/2006/relationships/footer" Target="footer2.xml"/><Relationship Id="rId10" Type="http://schemas.openxmlformats.org/officeDocument/2006/relationships/hyperlink" Target="https://primo.lib.umn.edu/primo-explore/fulldisplay?docid=TN_wj10.1111/j.1745-3992.1992.tb00230.x&amp;context=PC&amp;vid=TWINCITIES&amp;search_scope=mncat_discovery&amp;tab=article_discovery&amp;lang=en_US" TargetMode="External"/><Relationship Id="rId19" Type="http://schemas.openxmlformats.org/officeDocument/2006/relationships/hyperlink" Target="https://onlinelibrary-wiley-com.ezp2.lib.umn.edu/doi/abs/10.1111/j.1745-3992.1987.tb00507.x" TargetMode="External"/><Relationship Id="rId31" Type="http://schemas.openxmlformats.org/officeDocument/2006/relationships/hyperlink" Target="http://regents.umn.edu/sites/default/files/policies/SexHarassment.pdf" TargetMode="External"/><Relationship Id="rId4" Type="http://schemas.openxmlformats.org/officeDocument/2006/relationships/webSettings" Target="webSettings.xml"/><Relationship Id="rId9" Type="http://schemas.openxmlformats.org/officeDocument/2006/relationships/hyperlink" Target="https://primo.lib.umn.edu/primo-explore/fulldisplay?docid=TN_wj10.1111/j.1745-3992.1999.tb00012.x&amp;context=PC&amp;vid=TWINCITIES&amp;search_scope=mncat_discovery&amp;tab=article_discovery&amp;lang=en_US" TargetMode="External"/><Relationship Id="rId14" Type="http://schemas.openxmlformats.org/officeDocument/2006/relationships/hyperlink" Target="https://primo.lib.umn.edu/primo-explore/fulldisplay?docid=TN_wj10.1111/j.1745-3992.1999.tb00010.x&amp;context=PC&amp;vid=TWINCITIES&amp;search_scope=mncat_discovery&amp;tab=article_discovery&amp;lang=en_US" TargetMode="External"/><Relationship Id="rId22" Type="http://schemas.openxmlformats.org/officeDocument/2006/relationships/hyperlink" Target="http://www.fpd.finop.umn.edu/groups/senate/documents/policy/gradingpolicy.html" TargetMode="External"/><Relationship Id="rId27" Type="http://schemas.openxmlformats.org/officeDocument/2006/relationships/hyperlink" Target="http://onestop.umn.edu/onestop/faculty/Teaching/Policies.html" TargetMode="External"/><Relationship Id="rId30" Type="http://schemas.openxmlformats.org/officeDocument/2006/relationships/hyperlink" Target="http://policy.umn.edu/Policies/Education/Education/STUDENTRESP.htm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4138</Words>
  <Characters>23592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Course Syllabus</vt:lpstr>
    </vt:vector>
  </TitlesOfParts>
  <Company>University of Minnesota</Company>
  <LinksUpToDate>false</LinksUpToDate>
  <CharactersWithSpaces>27675</CharactersWithSpaces>
  <SharedDoc>false</SharedDoc>
  <HLinks>
    <vt:vector size="66" baseType="variant">
      <vt:variant>
        <vt:i4>5111837</vt:i4>
      </vt:variant>
      <vt:variant>
        <vt:i4>30</vt:i4>
      </vt:variant>
      <vt:variant>
        <vt:i4>0</vt:i4>
      </vt:variant>
      <vt:variant>
        <vt:i4>5</vt:i4>
      </vt:variant>
      <vt:variant>
        <vt:lpwstr>http://www1.umn.edu/ohr/teachlearn/syllabus/specialserv.html</vt:lpwstr>
      </vt:variant>
      <vt:variant>
        <vt:lpwstr/>
      </vt:variant>
      <vt:variant>
        <vt:i4>5636112</vt:i4>
      </vt:variant>
      <vt:variant>
        <vt:i4>27</vt:i4>
      </vt:variant>
      <vt:variant>
        <vt:i4>0</vt:i4>
      </vt:variant>
      <vt:variant>
        <vt:i4>5</vt:i4>
      </vt:variant>
      <vt:variant>
        <vt:lpwstr>http://www1.umn.edu/regents/policies/humanresources/SexHarassment.pdf</vt:lpwstr>
      </vt:variant>
      <vt:variant>
        <vt:lpwstr/>
      </vt:variant>
      <vt:variant>
        <vt:i4>6488102</vt:i4>
      </vt:variant>
      <vt:variant>
        <vt:i4>24</vt:i4>
      </vt:variant>
      <vt:variant>
        <vt:i4>0</vt:i4>
      </vt:variant>
      <vt:variant>
        <vt:i4>5</vt:i4>
      </vt:variant>
      <vt:variant>
        <vt:lpwstr>http://www1.umn.edu/regents/policies/academic/Student_Conduct_Code.pdf</vt:lpwstr>
      </vt:variant>
      <vt:variant>
        <vt:lpwstr/>
      </vt:variant>
      <vt:variant>
        <vt:i4>6815842</vt:i4>
      </vt:variant>
      <vt:variant>
        <vt:i4>21</vt:i4>
      </vt:variant>
      <vt:variant>
        <vt:i4>0</vt:i4>
      </vt:variant>
      <vt:variant>
        <vt:i4>5</vt:i4>
      </vt:variant>
      <vt:variant>
        <vt:lpwstr>http://www1.umn.edu/usenate/policies/classexpectguide.html</vt:lpwstr>
      </vt:variant>
      <vt:variant>
        <vt:lpwstr/>
      </vt:variant>
      <vt:variant>
        <vt:i4>1179719</vt:i4>
      </vt:variant>
      <vt:variant>
        <vt:i4>18</vt:i4>
      </vt:variant>
      <vt:variant>
        <vt:i4>0</vt:i4>
      </vt:variant>
      <vt:variant>
        <vt:i4>5</vt:i4>
      </vt:variant>
      <vt:variant>
        <vt:lpwstr>http://www.mentalhealth.umn.edu/</vt:lpwstr>
      </vt:variant>
      <vt:variant>
        <vt:lpwstr/>
      </vt:variant>
      <vt:variant>
        <vt:i4>7995510</vt:i4>
      </vt:variant>
      <vt:variant>
        <vt:i4>15</vt:i4>
      </vt:variant>
      <vt:variant>
        <vt:i4>0</vt:i4>
      </vt:variant>
      <vt:variant>
        <vt:i4>5</vt:i4>
      </vt:variant>
      <vt:variant>
        <vt:lpwstr>http://www1.umn.edu/usenate/usen/policies.html</vt:lpwstr>
      </vt:variant>
      <vt:variant>
        <vt:lpwstr/>
      </vt:variant>
      <vt:variant>
        <vt:i4>1376263</vt:i4>
      </vt:variant>
      <vt:variant>
        <vt:i4>12</vt:i4>
      </vt:variant>
      <vt:variant>
        <vt:i4>0</vt:i4>
      </vt:variant>
      <vt:variant>
        <vt:i4>5</vt:i4>
      </vt:variant>
      <vt:variant>
        <vt:lpwstr>http://onestop.umn.edu/onestop/faculty/Teaching/Policies.html</vt:lpwstr>
      </vt:variant>
      <vt:variant>
        <vt:lpwstr/>
      </vt:variant>
      <vt:variant>
        <vt:i4>196688</vt:i4>
      </vt:variant>
      <vt:variant>
        <vt:i4>9</vt:i4>
      </vt:variant>
      <vt:variant>
        <vt:i4>0</vt:i4>
      </vt:variant>
      <vt:variant>
        <vt:i4>5</vt:i4>
      </vt:variant>
      <vt:variant>
        <vt:lpwstr>http://ollie.dcccd.edu/library/module4/M4-VII/plagar.htm</vt:lpwstr>
      </vt:variant>
      <vt:variant>
        <vt:lpwstr/>
      </vt:variant>
      <vt:variant>
        <vt:i4>7864361</vt:i4>
      </vt:variant>
      <vt:variant>
        <vt:i4>6</vt:i4>
      </vt:variant>
      <vt:variant>
        <vt:i4>0</vt:i4>
      </vt:variant>
      <vt:variant>
        <vt:i4>5</vt:i4>
      </vt:variant>
      <vt:variant>
        <vt:lpwstr>http://swc.umn.edu/writinglinks.htm</vt:lpwstr>
      </vt:variant>
      <vt:variant>
        <vt:lpwstr/>
      </vt:variant>
      <vt:variant>
        <vt:i4>2490447</vt:i4>
      </vt:variant>
      <vt:variant>
        <vt:i4>3</vt:i4>
      </vt:variant>
      <vt:variant>
        <vt:i4>0</vt:i4>
      </vt:variant>
      <vt:variant>
        <vt:i4>5</vt:i4>
      </vt:variant>
      <vt:variant>
        <vt:lpwstr>http://www1.umn.edu/regents/policies/humanresources/Academic_Misconduct.pdf</vt:lpwstr>
      </vt:variant>
      <vt:variant>
        <vt:lpwstr/>
      </vt:variant>
      <vt:variant>
        <vt:i4>2097199</vt:i4>
      </vt:variant>
      <vt:variant>
        <vt:i4>0</vt:i4>
      </vt:variant>
      <vt:variant>
        <vt:i4>0</vt:i4>
      </vt:variant>
      <vt:variant>
        <vt:i4>5</vt:i4>
      </vt:variant>
      <vt:variant>
        <vt:lpwstr>http://onestop.umn.edu/onestop/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morga003</dc:creator>
  <cp:lastModifiedBy>Michael C Rodriguez</cp:lastModifiedBy>
  <cp:revision>3</cp:revision>
  <cp:lastPrinted>2019-01-27T04:32:00Z</cp:lastPrinted>
  <dcterms:created xsi:type="dcterms:W3CDTF">2019-01-29T19:36:00Z</dcterms:created>
  <dcterms:modified xsi:type="dcterms:W3CDTF">2019-02-11T00:04:00Z</dcterms:modified>
</cp:coreProperties>
</file>