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45" w:rsidRDefault="001E6345" w:rsidP="001E6345">
      <w:pPr>
        <w:pBdr>
          <w:bottom w:val="single" w:sz="4" w:space="1" w:color="auto"/>
        </w:pBdr>
        <w:tabs>
          <w:tab w:val="right" w:pos="9360"/>
        </w:tabs>
      </w:pPr>
      <w:r>
        <w:t>EPSY 8224</w:t>
      </w:r>
      <w:r>
        <w:tab/>
        <w:t>March 25, 2019</w:t>
      </w:r>
    </w:p>
    <w:p w:rsidR="001E6345" w:rsidRDefault="001E6345"/>
    <w:p w:rsidR="00CB3CF6" w:rsidRDefault="00664A6E">
      <w:r>
        <w:t>Sources of Validity Evidence for Performance Assessments</w:t>
      </w:r>
      <w:r w:rsidR="004E6A86">
        <w:t xml:space="preserve"> (Lane, 2010)</w:t>
      </w:r>
    </w:p>
    <w:p w:rsidR="004E6A86" w:rsidRDefault="004E6A86"/>
    <w:p w:rsidR="001E6345" w:rsidRDefault="001E6345">
      <w:r>
        <w:t>Definition of Validity:</w:t>
      </w:r>
    </w:p>
    <w:p w:rsidR="004E6A86" w:rsidRDefault="004E6A86" w:rsidP="004E6A86">
      <w:pPr>
        <w:pStyle w:val="ListParagraph"/>
        <w:numPr>
          <w:ilvl w:val="0"/>
          <w:numId w:val="2"/>
        </w:numPr>
        <w:ind w:left="360"/>
      </w:pPr>
      <w:r>
        <w:t>Extent to which theory and evidence support intended score interpretation for proposed uses.</w:t>
      </w:r>
    </w:p>
    <w:p w:rsidR="005C537A" w:rsidRDefault="005C537A" w:rsidP="005C537A"/>
    <w:p w:rsidR="001E6345" w:rsidRDefault="001E6345" w:rsidP="005C537A">
      <w:r>
        <w:t>Two components of validity and validation:</w:t>
      </w:r>
    </w:p>
    <w:p w:rsidR="005C537A" w:rsidRDefault="005C537A" w:rsidP="005C537A">
      <w:pPr>
        <w:pStyle w:val="ListParagraph"/>
        <w:numPr>
          <w:ilvl w:val="0"/>
          <w:numId w:val="3"/>
        </w:numPr>
      </w:pPr>
      <w:r>
        <w:t>Interpretation and Use Argument – interpretive framework</w:t>
      </w:r>
    </w:p>
    <w:p w:rsidR="005C537A" w:rsidRDefault="005C537A" w:rsidP="005C537A">
      <w:pPr>
        <w:pStyle w:val="ListParagraph"/>
        <w:numPr>
          <w:ilvl w:val="0"/>
          <w:numId w:val="3"/>
        </w:numPr>
      </w:pPr>
      <w:r>
        <w:t>Validity Argument – body of evidence from validation studies to defend interpretation of scores for proposed uses (to defend IUA)</w:t>
      </w:r>
    </w:p>
    <w:p w:rsidR="00664A6E" w:rsidRDefault="00664A6E"/>
    <w:p w:rsidR="00664A6E" w:rsidRDefault="00664A6E" w:rsidP="005C537A">
      <w:pPr>
        <w:pStyle w:val="ListParagraph"/>
        <w:numPr>
          <w:ilvl w:val="0"/>
          <w:numId w:val="1"/>
        </w:numPr>
      </w:pPr>
      <w:r>
        <w:t>Content representation</w:t>
      </w:r>
      <w:r w:rsidR="005C537A">
        <w:t xml:space="preserve"> (challenge with KSAs – fewer tasks, minimal observations, narrowly defined content domain)</w:t>
      </w:r>
    </w:p>
    <w:p w:rsidR="005C537A" w:rsidRDefault="005C537A" w:rsidP="005C537A">
      <w:pPr>
        <w:pStyle w:val="ListParagraph"/>
        <w:numPr>
          <w:ilvl w:val="1"/>
          <w:numId w:val="1"/>
        </w:numPr>
      </w:pPr>
      <w:r>
        <w:t>Decisions are based on multiple assessments and multiple measures</w:t>
      </w:r>
    </w:p>
    <w:p w:rsidR="005C537A" w:rsidRDefault="005C537A" w:rsidP="005C537A">
      <w:pPr>
        <w:pStyle w:val="ListParagraph"/>
        <w:numPr>
          <w:ilvl w:val="1"/>
          <w:numId w:val="1"/>
        </w:numPr>
      </w:pPr>
      <w:r>
        <w:t>Vary item and task formats</w:t>
      </w:r>
    </w:p>
    <w:p w:rsidR="005C537A" w:rsidRDefault="005C537A" w:rsidP="005C537A">
      <w:pPr>
        <w:pStyle w:val="ListParagraph"/>
        <w:numPr>
          <w:ilvl w:val="1"/>
          <w:numId w:val="1"/>
        </w:numPr>
      </w:pPr>
      <w:r>
        <w:t>Assessment blueprint</w:t>
      </w:r>
    </w:p>
    <w:p w:rsidR="005C537A" w:rsidRDefault="005C537A" w:rsidP="005C537A">
      <w:pPr>
        <w:pStyle w:val="ListParagraph"/>
        <w:numPr>
          <w:ilvl w:val="1"/>
          <w:numId w:val="1"/>
        </w:numPr>
      </w:pPr>
      <w:r>
        <w:t>Clearly defined content domain – articulating assessable content/contexts</w:t>
      </w:r>
    </w:p>
    <w:p w:rsidR="005C537A" w:rsidRDefault="006E3346" w:rsidP="005C537A">
      <w:pPr>
        <w:pStyle w:val="ListParagraph"/>
        <w:numPr>
          <w:ilvl w:val="1"/>
          <w:numId w:val="1"/>
        </w:numPr>
      </w:pPr>
      <w:r>
        <w:t>Expert support for the KSADs included in the assessment – these are core, relevant KSADs – expert review</w:t>
      </w:r>
    </w:p>
    <w:p w:rsidR="006E3346" w:rsidRDefault="006E3346" w:rsidP="005C537A">
      <w:pPr>
        <w:pStyle w:val="ListParagraph"/>
        <w:numPr>
          <w:ilvl w:val="1"/>
          <w:numId w:val="1"/>
        </w:numPr>
      </w:pPr>
      <w:r>
        <w:t>Rubric clearly reflects and represents targeted KSADs – might include expert review</w:t>
      </w:r>
    </w:p>
    <w:p w:rsidR="005C537A" w:rsidRDefault="005C537A" w:rsidP="005C537A">
      <w:pPr>
        <w:pStyle w:val="ListParagraph"/>
        <w:ind w:left="1440"/>
      </w:pPr>
    </w:p>
    <w:p w:rsidR="00664A6E" w:rsidRDefault="00664A6E" w:rsidP="00664A6E">
      <w:pPr>
        <w:pStyle w:val="ListParagraph"/>
        <w:numPr>
          <w:ilvl w:val="0"/>
          <w:numId w:val="1"/>
        </w:numPr>
      </w:pPr>
      <w:r>
        <w:t>Cognitive complexity</w:t>
      </w:r>
    </w:p>
    <w:p w:rsidR="005C537A" w:rsidRDefault="005C537A" w:rsidP="005C537A">
      <w:pPr>
        <w:pStyle w:val="ListParagraph"/>
        <w:numPr>
          <w:ilvl w:val="1"/>
          <w:numId w:val="1"/>
        </w:numPr>
      </w:pPr>
      <w:r>
        <w:t>Deeper and higher-level thinking skills are measured</w:t>
      </w:r>
    </w:p>
    <w:p w:rsidR="005C537A" w:rsidRDefault="006E3346" w:rsidP="005C537A">
      <w:pPr>
        <w:pStyle w:val="ListParagraph"/>
        <w:numPr>
          <w:ilvl w:val="1"/>
          <w:numId w:val="1"/>
        </w:numPr>
      </w:pPr>
      <w:r>
        <w:t>Rubric reflects and represents targeted cognitive skills (e.g., expert review)</w:t>
      </w:r>
    </w:p>
    <w:p w:rsidR="006E3346" w:rsidRDefault="006E3346" w:rsidP="005C537A">
      <w:pPr>
        <w:pStyle w:val="ListParagraph"/>
        <w:numPr>
          <w:ilvl w:val="1"/>
          <w:numId w:val="1"/>
        </w:numPr>
      </w:pPr>
      <w:r>
        <w:t>Response process evidence – think-aloud cognitive interviews, examine item-feature effects in explanatory item-response models</w:t>
      </w:r>
    </w:p>
    <w:p w:rsidR="006E3346" w:rsidRDefault="006E3346" w:rsidP="006E3346">
      <w:pPr>
        <w:pStyle w:val="ListParagraph"/>
        <w:ind w:left="1440"/>
      </w:pPr>
    </w:p>
    <w:p w:rsidR="00664A6E" w:rsidRDefault="00664A6E" w:rsidP="00664A6E">
      <w:pPr>
        <w:pStyle w:val="ListParagraph"/>
        <w:numPr>
          <w:ilvl w:val="0"/>
          <w:numId w:val="1"/>
        </w:numPr>
      </w:pPr>
      <w:r>
        <w:t>Meaningfulness and transparency</w:t>
      </w:r>
    </w:p>
    <w:p w:rsidR="006E3346" w:rsidRDefault="006E3346" w:rsidP="006E3346">
      <w:pPr>
        <w:pStyle w:val="ListParagraph"/>
        <w:numPr>
          <w:ilvl w:val="1"/>
          <w:numId w:val="1"/>
        </w:numPr>
      </w:pPr>
      <w:r>
        <w:t>Interviews of participants and score users</w:t>
      </w:r>
    </w:p>
    <w:p w:rsidR="006E3346" w:rsidRDefault="006E3346" w:rsidP="006E3346">
      <w:pPr>
        <w:pStyle w:val="ListParagraph"/>
        <w:numPr>
          <w:ilvl w:val="1"/>
          <w:numId w:val="1"/>
        </w:numPr>
      </w:pPr>
      <w:r>
        <w:t xml:space="preserve">Clarity of domains – blueprint – rubrics </w:t>
      </w:r>
    </w:p>
    <w:p w:rsidR="006E3346" w:rsidRDefault="006E3346" w:rsidP="006E3346">
      <w:pPr>
        <w:pStyle w:val="ListParagraph"/>
        <w:ind w:left="1440"/>
      </w:pPr>
    </w:p>
    <w:p w:rsidR="00664A6E" w:rsidRDefault="00664A6E" w:rsidP="00664A6E">
      <w:pPr>
        <w:pStyle w:val="ListParagraph"/>
        <w:numPr>
          <w:ilvl w:val="0"/>
          <w:numId w:val="1"/>
        </w:numPr>
      </w:pPr>
      <w:r>
        <w:t>Generalizability</w:t>
      </w:r>
    </w:p>
    <w:p w:rsidR="006E3346" w:rsidRDefault="006E3346" w:rsidP="006E3346">
      <w:pPr>
        <w:pStyle w:val="ListParagraph"/>
        <w:numPr>
          <w:ilvl w:val="1"/>
          <w:numId w:val="1"/>
        </w:numPr>
      </w:pPr>
      <w:r>
        <w:t>G-theory analyses to investigate the extent to which we can generalize over relevant facets of the measurement procedure</w:t>
      </w:r>
    </w:p>
    <w:p w:rsidR="006E3346" w:rsidRDefault="006E3346" w:rsidP="006E3346">
      <w:pPr>
        <w:pStyle w:val="ListParagraph"/>
        <w:ind w:left="1440"/>
      </w:pPr>
    </w:p>
    <w:p w:rsidR="00664A6E" w:rsidRDefault="00664A6E" w:rsidP="00664A6E">
      <w:pPr>
        <w:pStyle w:val="ListParagraph"/>
        <w:numPr>
          <w:ilvl w:val="0"/>
          <w:numId w:val="1"/>
        </w:numPr>
      </w:pPr>
      <w:r>
        <w:t>Fairness – differential validity</w:t>
      </w:r>
    </w:p>
    <w:p w:rsidR="00F96E87" w:rsidRDefault="00F96E87" w:rsidP="00F96E87">
      <w:pPr>
        <w:pStyle w:val="ListParagraph"/>
        <w:numPr>
          <w:ilvl w:val="1"/>
          <w:numId w:val="1"/>
        </w:numPr>
      </w:pPr>
      <w:r>
        <w:t>Validity evidence works equally well across relevant groups of test takers</w:t>
      </w:r>
    </w:p>
    <w:p w:rsidR="00F96E87" w:rsidRDefault="00F96E87" w:rsidP="00F96E87">
      <w:pPr>
        <w:pStyle w:val="ListParagraph"/>
        <w:ind w:left="1440"/>
      </w:pPr>
    </w:p>
    <w:p w:rsidR="00F96E87" w:rsidRDefault="00664A6E" w:rsidP="00F96E87">
      <w:pPr>
        <w:pStyle w:val="ListParagraph"/>
        <w:numPr>
          <w:ilvl w:val="0"/>
          <w:numId w:val="1"/>
        </w:numPr>
      </w:pPr>
      <w:r>
        <w:t>Consequences</w:t>
      </w:r>
    </w:p>
    <w:p w:rsidR="00F96E87" w:rsidRDefault="00F96E87" w:rsidP="00F96E87">
      <w:pPr>
        <w:pStyle w:val="ListParagraph"/>
        <w:numPr>
          <w:ilvl w:val="1"/>
          <w:numId w:val="1"/>
        </w:numPr>
      </w:pPr>
      <w:r>
        <w:t>Often takes time to follow-along outcomes of score use</w:t>
      </w:r>
    </w:p>
    <w:p w:rsidR="00F96E87" w:rsidRDefault="00F96E87" w:rsidP="00F96E87">
      <w:pPr>
        <w:pStyle w:val="ListParagraph"/>
        <w:ind w:left="1440"/>
      </w:pPr>
    </w:p>
    <w:p w:rsidR="00664A6E" w:rsidRDefault="00664A6E" w:rsidP="00664A6E">
      <w:pPr>
        <w:pStyle w:val="ListParagraph"/>
        <w:numPr>
          <w:ilvl w:val="0"/>
          <w:numId w:val="1"/>
        </w:numPr>
      </w:pPr>
      <w:r>
        <w:t>Instructional sensitivity</w:t>
      </w:r>
      <w:r w:rsidR="00F96E87">
        <w:t xml:space="preserve"> (accessibility is another concern)</w:t>
      </w:r>
    </w:p>
    <w:p w:rsidR="00F96E87" w:rsidRDefault="00F96E87" w:rsidP="00F96E87">
      <w:pPr>
        <w:pStyle w:val="ListParagraph"/>
        <w:numPr>
          <w:ilvl w:val="1"/>
          <w:numId w:val="1"/>
        </w:numPr>
      </w:pPr>
      <w:r>
        <w:t>Instruction causes higher performance (pre-post) – differences in the performance scores are sensitive to differences in instruction</w:t>
      </w:r>
    </w:p>
    <w:p w:rsidR="00F96E87" w:rsidRDefault="00F96E87" w:rsidP="00F96E87">
      <w:pPr>
        <w:pStyle w:val="ListParagraph"/>
        <w:numPr>
          <w:ilvl w:val="1"/>
          <w:numId w:val="1"/>
        </w:numPr>
      </w:pPr>
      <w:r>
        <w:lastRenderedPageBreak/>
        <w:t>Those who had opportunity to learn (cross-sectional) (because of instruction in the specific KSADs) perform better than those who have not</w:t>
      </w:r>
    </w:p>
    <w:p w:rsidR="00F96E87" w:rsidRDefault="00F96E87" w:rsidP="00F96E87">
      <w:pPr>
        <w:pStyle w:val="ListParagraph"/>
      </w:pPr>
    </w:p>
    <w:p w:rsidR="00664A6E" w:rsidRDefault="00664A6E" w:rsidP="00664A6E">
      <w:pPr>
        <w:pStyle w:val="ListParagraph"/>
        <w:numPr>
          <w:ilvl w:val="0"/>
          <w:numId w:val="1"/>
        </w:numPr>
      </w:pPr>
      <w:r>
        <w:t>Psychometrics</w:t>
      </w:r>
    </w:p>
    <w:p w:rsidR="00664A6E" w:rsidRDefault="00664A6E" w:rsidP="00664A6E"/>
    <w:p w:rsidR="00664A6E" w:rsidRDefault="00664A6E" w:rsidP="00664A6E">
      <w:r w:rsidRPr="00664A6E">
        <w:rPr>
          <w:i/>
        </w:rPr>
        <w:t>Testing Standards</w:t>
      </w:r>
      <w:r>
        <w:t xml:space="preserve">: (a) content, (b) </w:t>
      </w:r>
      <w:r w:rsidR="004E6A86">
        <w:t xml:space="preserve">response processes, (c) internal structure, (d) associations with other constructs (validity coefficients), </w:t>
      </w:r>
      <w:proofErr w:type="gramStart"/>
      <w:r w:rsidR="004E6A86">
        <w:t>(e) consequential bases</w:t>
      </w:r>
      <w:proofErr w:type="gramEnd"/>
      <w:r w:rsidR="004E6A86">
        <w:t>.</w:t>
      </w:r>
    </w:p>
    <w:p w:rsidR="001E6345" w:rsidRDefault="001E6345" w:rsidP="00664A6E"/>
    <w:p w:rsidR="001E6345" w:rsidRDefault="001E6345">
      <w:r>
        <w:br w:type="page"/>
      </w:r>
    </w:p>
    <w:p w:rsidR="001E6345" w:rsidRDefault="001E6345" w:rsidP="00664A6E"/>
    <w:p w:rsidR="001E6345" w:rsidRDefault="001E6345" w:rsidP="00664A6E">
      <w:r>
        <w:t>Validating Measures of Per</w:t>
      </w:r>
      <w:r w:rsidR="00F41CCE">
        <w:t>formance (Kane, Crooks, Cohen, 1999)</w:t>
      </w:r>
    </w:p>
    <w:p w:rsidR="00F41CCE" w:rsidRDefault="00F41CCE" w:rsidP="00664A6E"/>
    <w:p w:rsidR="00F41CCE" w:rsidRDefault="00F41CCE" w:rsidP="00664A6E">
      <w:r w:rsidRPr="00F41CCE">
        <w:rPr>
          <w:noProof/>
        </w:rPr>
        <w:drawing>
          <wp:inline distT="0" distB="0" distL="0" distR="0">
            <wp:extent cx="5943600" cy="1505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5A" w:rsidRDefault="000F6C5A" w:rsidP="00664A6E"/>
    <w:p w:rsidR="000F6C5A" w:rsidRDefault="006B5085" w:rsidP="00664A6E">
      <w:r>
        <w:t xml:space="preserve">Observation </w:t>
      </w:r>
      <w:r>
        <w:sym w:font="Wingdings" w:char="F0E0"/>
      </w:r>
      <w:r>
        <w:t xml:space="preserve"> observed score </w:t>
      </w:r>
      <w:r>
        <w:sym w:font="Wingdings" w:char="F0E0"/>
      </w:r>
      <w:r>
        <w:t xml:space="preserve"> universe score </w:t>
      </w:r>
      <w:r>
        <w:sym w:font="Wingdings" w:char="F0E0"/>
      </w:r>
      <w:r>
        <w:t xml:space="preserve"> target score</w:t>
      </w:r>
    </w:p>
    <w:p w:rsidR="006B5085" w:rsidRDefault="006B5085" w:rsidP="00664A6E"/>
    <w:p w:rsidR="006B5085" w:rsidRDefault="006B5085" w:rsidP="00664A6E">
      <w:r>
        <w:t>Inferences in Performance Assessment</w:t>
      </w:r>
    </w:p>
    <w:p w:rsidR="006B5085" w:rsidRDefault="006B5085" w:rsidP="00664A6E"/>
    <w:p w:rsidR="006B5085" w:rsidRDefault="006B5085" w:rsidP="006B5085">
      <w:pPr>
        <w:pStyle w:val="ListParagraph"/>
        <w:numPr>
          <w:ilvl w:val="0"/>
          <w:numId w:val="4"/>
        </w:numPr>
      </w:pPr>
      <w:r>
        <w:t>Scoring – inference from performance to the observed score</w:t>
      </w:r>
    </w:p>
    <w:p w:rsidR="006B5085" w:rsidRDefault="006B5085" w:rsidP="006B5085">
      <w:pPr>
        <w:pStyle w:val="ListParagraph"/>
        <w:numPr>
          <w:ilvl w:val="0"/>
          <w:numId w:val="5"/>
        </w:numPr>
      </w:pPr>
      <w:r>
        <w:t>Criteria for scoring are appropriate</w:t>
      </w:r>
    </w:p>
    <w:p w:rsidR="006B5085" w:rsidRDefault="006B5085" w:rsidP="006B5085">
      <w:pPr>
        <w:pStyle w:val="ListParagraph"/>
        <w:ind w:left="1080"/>
      </w:pPr>
      <w:r>
        <w:t xml:space="preserve">Theory and current standards in the field </w:t>
      </w:r>
      <w:proofErr w:type="gramStart"/>
      <w:r>
        <w:t>are represented</w:t>
      </w:r>
      <w:proofErr w:type="gramEnd"/>
      <w:r>
        <w:t xml:space="preserve"> in the criteria</w:t>
      </w:r>
    </w:p>
    <w:p w:rsidR="006B5085" w:rsidRDefault="006B5085" w:rsidP="006B5085">
      <w:pPr>
        <w:pStyle w:val="ListParagraph"/>
        <w:ind w:left="1080"/>
      </w:pPr>
      <w:r>
        <w:t>Criteria focus on high-level cognitive tasks – accommodate complex performances</w:t>
      </w:r>
    </w:p>
    <w:p w:rsidR="006B5085" w:rsidRDefault="006B5085" w:rsidP="006B5085">
      <w:pPr>
        <w:pStyle w:val="ListParagraph"/>
        <w:numPr>
          <w:ilvl w:val="0"/>
          <w:numId w:val="5"/>
        </w:numPr>
      </w:pPr>
      <w:r>
        <w:t>Scoring criteria are applied as intended</w:t>
      </w:r>
      <w:bookmarkStart w:id="0" w:name="_GoBack"/>
      <w:bookmarkEnd w:id="0"/>
    </w:p>
    <w:p w:rsidR="006B5085" w:rsidRDefault="006B5085" w:rsidP="006B5085">
      <w:pPr>
        <w:pStyle w:val="ListParagraph"/>
        <w:ind w:left="1080"/>
      </w:pPr>
      <w:r>
        <w:t>Rater training and qualification process</w:t>
      </w:r>
    </w:p>
    <w:p w:rsidR="006B5085" w:rsidRDefault="006B5085" w:rsidP="006B5085">
      <w:pPr>
        <w:pStyle w:val="ListParagraph"/>
        <w:ind w:left="1080"/>
      </w:pPr>
      <w:r>
        <w:t>Rater agreement – monitoring rater accuracy and consistency</w:t>
      </w:r>
    </w:p>
    <w:p w:rsidR="00202D3D" w:rsidRDefault="00202D3D" w:rsidP="006B5085">
      <w:pPr>
        <w:pStyle w:val="ListParagraph"/>
        <w:ind w:left="1080"/>
      </w:pPr>
      <w:r>
        <w:t>Periodic rescoring of performances</w:t>
      </w:r>
    </w:p>
    <w:p w:rsidR="00202D3D" w:rsidRDefault="00202D3D" w:rsidP="006B5085">
      <w:pPr>
        <w:pStyle w:val="ListParagraph"/>
        <w:ind w:left="1080"/>
      </w:pPr>
    </w:p>
    <w:p w:rsidR="00202D3D" w:rsidRDefault="00202D3D" w:rsidP="00202D3D">
      <w:pPr>
        <w:pStyle w:val="ListParagraph"/>
        <w:numPr>
          <w:ilvl w:val="0"/>
          <w:numId w:val="5"/>
        </w:numPr>
      </w:pPr>
      <w:r>
        <w:t>Alternative interpretations</w:t>
      </w:r>
    </w:p>
    <w:p w:rsidR="00202D3D" w:rsidRDefault="00202D3D" w:rsidP="00202D3D">
      <w:pPr>
        <w:pStyle w:val="ListParagraph"/>
        <w:ind w:left="1080"/>
      </w:pPr>
      <w:r>
        <w:t>Controlling for construct-irrelevant features – by design and documenting as they are discovered</w:t>
      </w:r>
    </w:p>
    <w:p w:rsidR="00202D3D" w:rsidRDefault="00202D3D" w:rsidP="00202D3D">
      <w:pPr>
        <w:pStyle w:val="ListParagraph"/>
        <w:ind w:left="1080"/>
      </w:pPr>
      <w:r>
        <w:t>Bias – training and monitoring</w:t>
      </w:r>
    </w:p>
    <w:p w:rsidR="00202D3D" w:rsidRDefault="00202D3D" w:rsidP="00202D3D">
      <w:pPr>
        <w:pStyle w:val="ListParagraph"/>
        <w:ind w:left="1080"/>
      </w:pPr>
      <w:r>
        <w:t>Selection and background qualifications of raters</w:t>
      </w:r>
    </w:p>
    <w:p w:rsidR="00202D3D" w:rsidRDefault="00202D3D" w:rsidP="00202D3D">
      <w:pPr>
        <w:pStyle w:val="ListParagraph"/>
        <w:ind w:left="1080"/>
      </w:pPr>
      <w:r>
        <w:t>Clarity of task expectations (sensitivity review, expert review)</w:t>
      </w:r>
    </w:p>
    <w:p w:rsidR="00202D3D" w:rsidRDefault="00202D3D" w:rsidP="00202D3D">
      <w:pPr>
        <w:pStyle w:val="ListParagraph"/>
        <w:ind w:left="1080"/>
      </w:pPr>
      <w:r>
        <w:t>Functional equipment – user experience and familiarity</w:t>
      </w:r>
    </w:p>
    <w:p w:rsidR="00202D3D" w:rsidRDefault="00202D3D" w:rsidP="00202D3D">
      <w:pPr>
        <w:pStyle w:val="ListParagraph"/>
        <w:ind w:left="1080"/>
      </w:pPr>
      <w:r>
        <w:t>Administration conditions</w:t>
      </w:r>
    </w:p>
    <w:p w:rsidR="00202D3D" w:rsidRDefault="00202D3D" w:rsidP="00202D3D"/>
    <w:p w:rsidR="00202D3D" w:rsidRDefault="00202D3D" w:rsidP="00202D3D">
      <w:pPr>
        <w:pStyle w:val="ListParagraph"/>
        <w:numPr>
          <w:ilvl w:val="0"/>
          <w:numId w:val="4"/>
        </w:numPr>
      </w:pPr>
      <w:r>
        <w:t>Generalization – inference from observed score to universe score</w:t>
      </w:r>
    </w:p>
    <w:p w:rsidR="00202D3D" w:rsidRDefault="00202D3D" w:rsidP="00202D3D">
      <w:pPr>
        <w:pStyle w:val="ListParagraph"/>
        <w:numPr>
          <w:ilvl w:val="1"/>
          <w:numId w:val="4"/>
        </w:numPr>
      </w:pPr>
      <w:r>
        <w:t>Generalizability</w:t>
      </w:r>
    </w:p>
    <w:p w:rsidR="00202D3D" w:rsidRDefault="00202D3D" w:rsidP="00202D3D">
      <w:pPr>
        <w:ind w:left="1440"/>
      </w:pPr>
      <w:r>
        <w:t>Over tasks, occasions, raters, setting, other facets of the measurement procedure</w:t>
      </w:r>
    </w:p>
    <w:p w:rsidR="00202D3D" w:rsidRDefault="00202D3D" w:rsidP="00202D3D">
      <w:pPr>
        <w:ind w:left="1440"/>
      </w:pPr>
    </w:p>
    <w:p w:rsidR="00202D3D" w:rsidRDefault="00361418" w:rsidP="00202D3D">
      <w:pPr>
        <w:pStyle w:val="ListParagraph"/>
        <w:numPr>
          <w:ilvl w:val="1"/>
          <w:numId w:val="4"/>
        </w:numPr>
      </w:pPr>
      <w:r>
        <w:t>Alternative interpretations</w:t>
      </w:r>
    </w:p>
    <w:p w:rsidR="00361418" w:rsidRDefault="00361418" w:rsidP="00361418">
      <w:pPr>
        <w:pStyle w:val="ListParagraph"/>
        <w:ind w:left="1440"/>
      </w:pPr>
      <w:r>
        <w:t>The tasks are random and/or representative</w:t>
      </w:r>
    </w:p>
    <w:p w:rsidR="00361418" w:rsidRDefault="00361418" w:rsidP="00361418">
      <w:pPr>
        <w:pStyle w:val="ListParagraph"/>
        <w:ind w:left="1440"/>
      </w:pPr>
      <w:r>
        <w:t>Demonstrate that administered tasks are representative of the universe of tasks (universe of generalization)</w:t>
      </w:r>
    </w:p>
    <w:p w:rsidR="00361418" w:rsidRDefault="00361418" w:rsidP="00361418"/>
    <w:p w:rsidR="00361418" w:rsidRDefault="00361418" w:rsidP="00361418">
      <w:pPr>
        <w:pStyle w:val="ListParagraph"/>
        <w:numPr>
          <w:ilvl w:val="0"/>
          <w:numId w:val="4"/>
        </w:numPr>
      </w:pPr>
      <w:r>
        <w:t>Extrapolation – inference from universe score to target score</w:t>
      </w:r>
    </w:p>
    <w:p w:rsidR="00361418" w:rsidRDefault="00361418" w:rsidP="00361418">
      <w:pPr>
        <w:pStyle w:val="ListParagraph"/>
        <w:numPr>
          <w:ilvl w:val="1"/>
          <w:numId w:val="4"/>
        </w:numPr>
      </w:pPr>
      <w:r>
        <w:t>Target domain coverage in the universe of generalization</w:t>
      </w:r>
    </w:p>
    <w:p w:rsidR="00361418" w:rsidRDefault="00361418" w:rsidP="00361418">
      <w:pPr>
        <w:pStyle w:val="ListParagraph"/>
        <w:ind w:left="1440"/>
      </w:pPr>
      <w:r>
        <w:t xml:space="preserve">What had to </w:t>
      </w:r>
      <w:proofErr w:type="gramStart"/>
      <w:r>
        <w:t>be left out</w:t>
      </w:r>
      <w:proofErr w:type="gramEnd"/>
      <w:r>
        <w:t>?</w:t>
      </w:r>
    </w:p>
    <w:p w:rsidR="00361418" w:rsidRDefault="00361418" w:rsidP="00361418">
      <w:pPr>
        <w:pStyle w:val="ListParagraph"/>
        <w:ind w:left="1440"/>
      </w:pPr>
      <w:r>
        <w:lastRenderedPageBreak/>
        <w:t>Criterion-related validity evidence (associations with other aspects of the target domain)</w:t>
      </w:r>
    </w:p>
    <w:p w:rsidR="00361418" w:rsidRDefault="00361418" w:rsidP="00361418">
      <w:pPr>
        <w:pStyle w:val="ListParagraph"/>
        <w:ind w:left="1440"/>
      </w:pPr>
    </w:p>
    <w:p w:rsidR="00361418" w:rsidRDefault="00361418" w:rsidP="00361418">
      <w:pPr>
        <w:pStyle w:val="ListParagraph"/>
        <w:ind w:left="1440"/>
      </w:pPr>
      <w:r>
        <w:t xml:space="preserve">To the extent that the process skills (because that why </w:t>
      </w:r>
      <w:proofErr w:type="gramStart"/>
      <w:r>
        <w:t>we’re</w:t>
      </w:r>
      <w:proofErr w:type="gramEnd"/>
      <w:r>
        <w:t xml:space="preserve"> using PA) involved in the performance are well understood, the link between the universe and target scores could be justified theoretically.</w:t>
      </w:r>
    </w:p>
    <w:p w:rsidR="00361418" w:rsidRDefault="00361418" w:rsidP="00361418">
      <w:pPr>
        <w:pStyle w:val="ListParagraph"/>
        <w:ind w:left="1440"/>
      </w:pPr>
    </w:p>
    <w:p w:rsidR="00361418" w:rsidRDefault="00361418" w:rsidP="00361418">
      <w:pPr>
        <w:pStyle w:val="ListParagraph"/>
        <w:numPr>
          <w:ilvl w:val="1"/>
          <w:numId w:val="4"/>
        </w:numPr>
      </w:pPr>
      <w:r>
        <w:t>Alternative interpretations</w:t>
      </w:r>
    </w:p>
    <w:p w:rsidR="00361418" w:rsidRDefault="00262CE5" w:rsidP="00361418">
      <w:pPr>
        <w:pStyle w:val="ListParagraph"/>
        <w:ind w:left="1440"/>
      </w:pPr>
      <w:r>
        <w:t>Conditions of assessment may be restricted – due to practical constraints</w:t>
      </w:r>
    </w:p>
    <w:p w:rsidR="00262CE5" w:rsidRDefault="00262CE5" w:rsidP="00361418">
      <w:pPr>
        <w:pStyle w:val="ListParagraph"/>
        <w:ind w:left="1440"/>
      </w:pPr>
      <w:r>
        <w:t>Format of the assessment may be simulated or not authentic – high fidelity tasks are expensive</w:t>
      </w:r>
    </w:p>
    <w:p w:rsidR="00262CE5" w:rsidRDefault="00262CE5" w:rsidP="00262CE5"/>
    <w:p w:rsidR="00262CE5" w:rsidRDefault="00262CE5" w:rsidP="00262CE5">
      <w:r>
        <w:t>Implications for Design</w:t>
      </w:r>
    </w:p>
    <w:p w:rsidR="00262CE5" w:rsidRDefault="00262CE5" w:rsidP="00262CE5"/>
    <w:p w:rsidR="00262CE5" w:rsidRDefault="00262CE5" w:rsidP="00262CE5">
      <w:pPr>
        <w:pStyle w:val="ListParagraph"/>
        <w:numPr>
          <w:ilvl w:val="0"/>
          <w:numId w:val="6"/>
        </w:numPr>
      </w:pPr>
      <w:r>
        <w:t>Standardization</w:t>
      </w:r>
    </w:p>
    <w:p w:rsidR="00262CE5" w:rsidRDefault="00262CE5" w:rsidP="00262CE5">
      <w:pPr>
        <w:ind w:left="720"/>
      </w:pPr>
      <w:r>
        <w:t>May be improving consistency at the expense of narrowing the universe of generalization and introducing construct-irrelevant factors</w:t>
      </w:r>
    </w:p>
    <w:p w:rsidR="00262CE5" w:rsidRDefault="00262CE5" w:rsidP="00262CE5">
      <w:pPr>
        <w:ind w:left="720"/>
      </w:pPr>
    </w:p>
    <w:p w:rsidR="00262CE5" w:rsidRDefault="00262CE5" w:rsidP="00262CE5">
      <w:pPr>
        <w:pStyle w:val="ListParagraph"/>
        <w:numPr>
          <w:ilvl w:val="0"/>
          <w:numId w:val="6"/>
        </w:numPr>
      </w:pPr>
      <w:r>
        <w:t>Length of the assessment</w:t>
      </w:r>
    </w:p>
    <w:p w:rsidR="00262CE5" w:rsidRDefault="00262CE5" w:rsidP="00262CE5">
      <w:pPr>
        <w:pStyle w:val="ListParagraph"/>
        <w:numPr>
          <w:ilvl w:val="0"/>
          <w:numId w:val="6"/>
        </w:numPr>
      </w:pPr>
      <w:r>
        <w:t>Complexity of the assessment</w:t>
      </w:r>
    </w:p>
    <w:p w:rsidR="00262CE5" w:rsidRDefault="00262CE5" w:rsidP="00262CE5"/>
    <w:p w:rsidR="00262CE5" w:rsidRDefault="00262CE5" w:rsidP="00262CE5"/>
    <w:sectPr w:rsidR="0026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5B4A"/>
    <w:multiLevelType w:val="hybridMultilevel"/>
    <w:tmpl w:val="569AB230"/>
    <w:lvl w:ilvl="0" w:tplc="3A3C9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D7A6B"/>
    <w:multiLevelType w:val="hybridMultilevel"/>
    <w:tmpl w:val="042452D2"/>
    <w:lvl w:ilvl="0" w:tplc="C6B0E3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008E8"/>
    <w:multiLevelType w:val="hybridMultilevel"/>
    <w:tmpl w:val="87DE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1414E"/>
    <w:multiLevelType w:val="hybridMultilevel"/>
    <w:tmpl w:val="35961AEC"/>
    <w:lvl w:ilvl="0" w:tplc="5978B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A321F"/>
    <w:multiLevelType w:val="hybridMultilevel"/>
    <w:tmpl w:val="D7B854FC"/>
    <w:lvl w:ilvl="0" w:tplc="3676C6E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16CAF"/>
    <w:multiLevelType w:val="hybridMultilevel"/>
    <w:tmpl w:val="C9BE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6E"/>
    <w:rsid w:val="000F6C5A"/>
    <w:rsid w:val="001E6345"/>
    <w:rsid w:val="00202D3D"/>
    <w:rsid w:val="00262CE5"/>
    <w:rsid w:val="002679EF"/>
    <w:rsid w:val="00361418"/>
    <w:rsid w:val="004E6A86"/>
    <w:rsid w:val="005C537A"/>
    <w:rsid w:val="006003B3"/>
    <w:rsid w:val="00664A6E"/>
    <w:rsid w:val="006B5085"/>
    <w:rsid w:val="006E3346"/>
    <w:rsid w:val="00755780"/>
    <w:rsid w:val="00976869"/>
    <w:rsid w:val="00F41CCE"/>
    <w:rsid w:val="00F9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432C"/>
  <w15:chartTrackingRefBased/>
  <w15:docId w15:val="{25FBDEB6-A977-4071-982A-1C98E847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2019-03-25T14:38:00Z</dcterms:created>
  <dcterms:modified xsi:type="dcterms:W3CDTF">2019-03-25T16:49:00Z</dcterms:modified>
</cp:coreProperties>
</file>