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78" w:rsidRDefault="0071285D" w:rsidP="00E063D4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r>
        <w:t>3.</w:t>
      </w:r>
      <w:r w:rsidR="007C2778">
        <w:t xml:space="preserve">  </w:t>
      </w:r>
      <w:r w:rsidR="00E063D4">
        <w:t>Parameter E</w:t>
      </w:r>
      <w:r w:rsidR="00946378">
        <w:t>stimation</w:t>
      </w:r>
      <w:r w:rsidR="00BC0285">
        <w:t xml:space="preserve"> &amp; Hypothesis Testing</w:t>
      </w:r>
      <w:r w:rsidR="00E063D4">
        <w:tab/>
        <w:t>EPSY 8268</w:t>
      </w:r>
    </w:p>
    <w:p w:rsidR="00946378" w:rsidRDefault="00946378"/>
    <w:p w:rsidR="00946378" w:rsidRDefault="00946378">
      <w:bookmarkStart w:id="0" w:name="_GoBack"/>
      <w:bookmarkEnd w:id="0"/>
    </w:p>
    <w:p w:rsidR="00946378" w:rsidRPr="00E063D4" w:rsidRDefault="00946378">
      <w:pPr>
        <w:rPr>
          <w:b/>
          <w:vertAlign w:val="subscript"/>
        </w:rPr>
      </w:pPr>
      <w:r w:rsidRPr="00E063D4">
        <w:rPr>
          <w:b/>
        </w:rPr>
        <w:t xml:space="preserve">Generalized least squares (GLS) estimates of the level-2 coefficients, </w:t>
      </w:r>
      <w:r w:rsidRPr="00E063D4">
        <w:rPr>
          <w:b/>
        </w:rPr>
        <w:sym w:font="Symbol" w:char="F067"/>
      </w:r>
      <w:proofErr w:type="spellStart"/>
      <w:r w:rsidRPr="00E063D4">
        <w:rPr>
          <w:b/>
          <w:i/>
          <w:iCs/>
          <w:vertAlign w:val="subscript"/>
        </w:rPr>
        <w:t>qs</w:t>
      </w:r>
      <w:proofErr w:type="spellEnd"/>
    </w:p>
    <w:p w:rsidR="00946378" w:rsidRDefault="00946378"/>
    <w:p w:rsidR="00946378" w:rsidRDefault="00946378"/>
    <w:p w:rsidR="00946378" w:rsidRDefault="00946378">
      <w:r>
        <w:t xml:space="preserve">The basic Level-1 model </w:t>
      </w:r>
      <w:proofErr w:type="gramStart"/>
      <w:r>
        <w:t xml:space="preserve">is </w:t>
      </w:r>
      <w:proofErr w:type="gramEnd"/>
      <w:r w:rsidR="007C2778" w:rsidRPr="007C2778">
        <w:rPr>
          <w:position w:val="-14"/>
        </w:rPr>
        <w:object w:dxaOrig="1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19pt" o:ole="">
            <v:imagedata r:id="rId7" o:title=""/>
          </v:shape>
          <o:OLEObject Type="Embed" ProgID="Equation.3" ShapeID="_x0000_i1025" DrawAspect="Content" ObjectID="_1567162476" r:id="rId8"/>
        </w:object>
      </w:r>
      <w:r>
        <w:t xml:space="preserve">, where </w:t>
      </w:r>
      <w:proofErr w:type="spellStart"/>
      <w:r>
        <w:rPr>
          <w:i/>
          <w:iCs/>
        </w:rPr>
        <w:t>r</w:t>
      </w:r>
      <w:r>
        <w:rPr>
          <w:i/>
          <w:iCs/>
          <w:vertAlign w:val="subscript"/>
        </w:rPr>
        <w:t>ij</w:t>
      </w:r>
      <w:proofErr w:type="spellEnd"/>
      <w:r>
        <w:t xml:space="preserve"> ~ N(0, </w:t>
      </w:r>
      <w:r>
        <w:sym w:font="Symbol" w:char="F073"/>
      </w:r>
      <w:r>
        <w:rPr>
          <w:vertAlign w:val="superscript"/>
        </w:rPr>
        <w:t>2</w:t>
      </w:r>
      <w:r w:rsidR="000C2014">
        <w:t>).</w:t>
      </w:r>
    </w:p>
    <w:p w:rsidR="00946378" w:rsidRDefault="00946378"/>
    <w:p w:rsidR="00946378" w:rsidRDefault="007C2778">
      <w:r w:rsidRPr="007C2778">
        <w:rPr>
          <w:position w:val="-14"/>
        </w:rPr>
        <w:object w:dxaOrig="1380" w:dyaOrig="400">
          <v:shape id="_x0000_i1026" type="#_x0000_t75" style="width:68.55pt;height:20.15pt" o:ole="">
            <v:imagedata r:id="rId9" o:title=""/>
          </v:shape>
          <o:OLEObject Type="Embed" ProgID="Equation.3" ShapeID="_x0000_i1026" DrawAspect="Content" ObjectID="_1567162477" r:id="rId10"/>
        </w:object>
      </w:r>
    </w:p>
    <w:p w:rsidR="00946378" w:rsidRDefault="00946378"/>
    <w:p w:rsidR="00946378" w:rsidRDefault="00946378">
      <w:r>
        <w:rPr>
          <w:position w:val="-32"/>
        </w:rPr>
        <w:object w:dxaOrig="1140" w:dyaOrig="760">
          <v:shape id="_x0000_i1027" type="#_x0000_t75" style="width:57pt;height:37.45pt" o:ole="">
            <v:imagedata r:id="rId11" o:title=""/>
          </v:shape>
          <o:OLEObject Type="Embed" ProgID="Equation.3" ShapeID="_x0000_i1027" DrawAspect="Content" ObjectID="_1567162478" r:id="rId12"/>
        </w:object>
      </w:r>
    </w:p>
    <w:p w:rsidR="00946378" w:rsidRDefault="00946378"/>
    <w:p w:rsidR="00946378" w:rsidRDefault="007C2778">
      <w:r w:rsidRPr="007C2778">
        <w:rPr>
          <w:position w:val="-32"/>
        </w:rPr>
        <w:object w:dxaOrig="1800" w:dyaOrig="740">
          <v:shape id="_x0000_i1028" type="#_x0000_t75" style="width:90.45pt;height:36.85pt" o:ole="">
            <v:imagedata r:id="rId13" o:title=""/>
          </v:shape>
          <o:OLEObject Type="Embed" ProgID="Equation.3" ShapeID="_x0000_i1028" DrawAspect="Content" ObjectID="_1567162479" r:id="rId14"/>
        </w:object>
      </w:r>
    </w:p>
    <w:p w:rsidR="00946378" w:rsidRDefault="00946378"/>
    <w:p w:rsidR="00946378" w:rsidRDefault="00946378"/>
    <w:p w:rsidR="00946378" w:rsidRDefault="00946378"/>
    <w:p w:rsidR="00946378" w:rsidRDefault="00946378">
      <w:r>
        <w:t xml:space="preserve">The basic Level-2 model </w:t>
      </w:r>
      <w:proofErr w:type="gramStart"/>
      <w:r>
        <w:t xml:space="preserve">is </w:t>
      </w:r>
      <w:proofErr w:type="gramEnd"/>
      <w:r w:rsidR="007C2778" w:rsidRPr="007C2778">
        <w:rPr>
          <w:position w:val="-14"/>
        </w:rPr>
        <w:object w:dxaOrig="1400" w:dyaOrig="400">
          <v:shape id="_x0000_i1029" type="#_x0000_t75" style="width:77.75pt;height:22.45pt" o:ole="">
            <v:imagedata r:id="rId15" o:title=""/>
          </v:shape>
          <o:OLEObject Type="Embed" ProgID="Equation.3" ShapeID="_x0000_i1029" DrawAspect="Content" ObjectID="_1567162480" r:id="rId16"/>
        </w:object>
      </w:r>
      <w:r>
        <w:t xml:space="preserve">, where </w:t>
      </w:r>
      <w:r>
        <w:rPr>
          <w:i/>
          <w:iCs/>
        </w:rPr>
        <w:t>u</w:t>
      </w:r>
      <w:r>
        <w:rPr>
          <w:vertAlign w:val="subscript"/>
        </w:rPr>
        <w:t>0</w:t>
      </w:r>
      <w:r>
        <w:rPr>
          <w:i/>
          <w:iCs/>
          <w:vertAlign w:val="subscript"/>
        </w:rPr>
        <w:t>j</w:t>
      </w:r>
      <w:r>
        <w:t xml:space="preserve"> ~ N(0, </w:t>
      </w:r>
      <w:r>
        <w:sym w:font="Symbol" w:char="F074"/>
      </w:r>
      <w:r>
        <w:rPr>
          <w:vertAlign w:val="subscript"/>
        </w:rPr>
        <w:t>00</w:t>
      </w:r>
      <w:r w:rsidR="0071285D">
        <w:t>).</w:t>
      </w:r>
    </w:p>
    <w:p w:rsidR="00946378" w:rsidRDefault="00946378"/>
    <w:p w:rsidR="00946378" w:rsidRDefault="0071285D">
      <w:r>
        <w:rPr>
          <w:position w:val="-14"/>
        </w:rPr>
        <w:object w:dxaOrig="1880" w:dyaOrig="400">
          <v:shape id="_x0000_i1030" type="#_x0000_t75" style="width:93.9pt;height:20.15pt" o:ole="">
            <v:imagedata r:id="rId17" o:title=""/>
          </v:shape>
          <o:OLEObject Type="Embed" ProgID="Equation.3" ShapeID="_x0000_i1030" DrawAspect="Content" ObjectID="_1567162481" r:id="rId18"/>
        </w:object>
      </w:r>
    </w:p>
    <w:p w:rsidR="00946378" w:rsidRDefault="00946378"/>
    <w:p w:rsidR="00946378" w:rsidRDefault="00946378">
      <w:r>
        <w:rPr>
          <w:position w:val="-14"/>
        </w:rPr>
        <w:object w:dxaOrig="2860" w:dyaOrig="400">
          <v:shape id="_x0000_i1031" type="#_x0000_t75" style="width:143.4pt;height:20.15pt" o:ole="">
            <v:imagedata r:id="rId19" o:title=""/>
          </v:shape>
          <o:OLEObject Type="Embed" ProgID="Equation.3" ShapeID="_x0000_i1031" DrawAspect="Content" ObjectID="_1567162482" r:id="rId20"/>
        </w:object>
      </w:r>
      <w:r>
        <w:t xml:space="preserve"> = </w:t>
      </w:r>
      <w:r>
        <w:sym w:font="Symbol" w:char="F044"/>
      </w:r>
      <w:r>
        <w:rPr>
          <w:i/>
          <w:iCs/>
          <w:vertAlign w:val="subscript"/>
        </w:rPr>
        <w:t>j</w:t>
      </w:r>
    </w:p>
    <w:p w:rsidR="00946378" w:rsidRDefault="00946378"/>
    <w:p w:rsidR="00946378" w:rsidRDefault="00946378">
      <w:r>
        <w:t>(</w:t>
      </w:r>
      <w:r>
        <w:rPr>
          <w:position w:val="-14"/>
        </w:rPr>
        <w:object w:dxaOrig="340" w:dyaOrig="400">
          <v:shape id="_x0000_i1032" type="#_x0000_t75" style="width:16.7pt;height:20.15pt" o:ole="">
            <v:imagedata r:id="rId21" o:title=""/>
          </v:shape>
          <o:OLEObject Type="Embed" ProgID="Equation.3" ShapeID="_x0000_i1032" DrawAspect="Content" ObjectID="_1567162483" r:id="rId22"/>
        </w:object>
      </w:r>
      <w:r>
        <w:t xml:space="preserve">) = </w:t>
      </w:r>
      <w:r>
        <w:rPr>
          <w:position w:val="-14"/>
        </w:rPr>
        <w:object w:dxaOrig="360" w:dyaOrig="400">
          <v:shape id="_x0000_i1033" type="#_x0000_t75" style="width:18.45pt;height:20.15pt" o:ole="">
            <v:imagedata r:id="rId23" o:title=""/>
          </v:shape>
          <o:OLEObject Type="Embed" ProgID="Equation.3" ShapeID="_x0000_i1033" DrawAspect="Content" ObjectID="_1567162484" r:id="rId24"/>
        </w:object>
      </w:r>
    </w:p>
    <w:p w:rsidR="00946378" w:rsidRDefault="00946378"/>
    <w:p w:rsidR="00946378" w:rsidRDefault="007C2778">
      <w:r w:rsidRPr="007C2778">
        <w:rPr>
          <w:position w:val="-34"/>
        </w:rPr>
        <w:object w:dxaOrig="1540" w:dyaOrig="800">
          <v:shape id="_x0000_i1034" type="#_x0000_t75" style="width:77.2pt;height:40.3pt" o:ole="">
            <v:imagedata r:id="rId25" o:title=""/>
          </v:shape>
          <o:OLEObject Type="Embed" ProgID="Equation.3" ShapeID="_x0000_i1034" DrawAspect="Content" ObjectID="_1567162485" r:id="rId26"/>
        </w:object>
      </w:r>
    </w:p>
    <w:p w:rsidR="00946378" w:rsidRDefault="00946378"/>
    <w:p w:rsidR="00946378" w:rsidRDefault="00946378"/>
    <w:p w:rsidR="00946378" w:rsidRPr="00E063D4" w:rsidRDefault="00946378">
      <w:pPr>
        <w:rPr>
          <w:b/>
          <w:vertAlign w:val="subscript"/>
        </w:rPr>
      </w:pPr>
      <w:r w:rsidRPr="00E063D4">
        <w:rPr>
          <w:b/>
        </w:rPr>
        <w:br w:type="page"/>
      </w:r>
      <w:r w:rsidRPr="00E063D4">
        <w:rPr>
          <w:b/>
        </w:rPr>
        <w:lastRenderedPageBreak/>
        <w:t xml:space="preserve">Empirical Bayes (''EB'') estimates of randomly varying level-1 coefficients, </w:t>
      </w:r>
      <w:r w:rsidRPr="00E063D4">
        <w:rPr>
          <w:b/>
          <w:iCs/>
        </w:rPr>
        <w:sym w:font="Symbol" w:char="F062"/>
      </w:r>
      <w:proofErr w:type="spellStart"/>
      <w:r w:rsidRPr="00E063D4">
        <w:rPr>
          <w:b/>
          <w:i/>
          <w:iCs/>
          <w:vertAlign w:val="subscript"/>
        </w:rPr>
        <w:t>qj</w:t>
      </w:r>
      <w:proofErr w:type="spellEnd"/>
    </w:p>
    <w:p w:rsidR="00946378" w:rsidRDefault="00946378"/>
    <w:p w:rsidR="00946378" w:rsidRDefault="00946378">
      <w:r>
        <w:t xml:space="preserve">The Bayes estimate of </w:t>
      </w:r>
      <w:r w:rsidRPr="007C2778">
        <w:rPr>
          <w:iCs/>
        </w:rPr>
        <w:sym w:font="Symbol" w:char="F062"/>
      </w:r>
      <w:r>
        <w:rPr>
          <w:i/>
          <w:iCs/>
          <w:vertAlign w:val="subscript"/>
        </w:rPr>
        <w:t>0j</w:t>
      </w:r>
      <w:r>
        <w:t xml:space="preserve"> is </w:t>
      </w:r>
      <w:r w:rsidR="00BC0285" w:rsidRPr="007C2778">
        <w:rPr>
          <w:position w:val="-14"/>
        </w:rPr>
        <w:object w:dxaOrig="2299" w:dyaOrig="400">
          <v:shape id="_x0000_i1046" type="#_x0000_t75" style="width:128.45pt;height:22.45pt" o:ole="">
            <v:imagedata r:id="rId27" o:title=""/>
          </v:shape>
          <o:OLEObject Type="Embed" ProgID="Equation.3" ShapeID="_x0000_i1046" DrawAspect="Content" ObjectID="_1567162486" r:id="rId28"/>
        </w:object>
      </w:r>
    </w:p>
    <w:p w:rsidR="00946378" w:rsidRDefault="00946378">
      <w:r>
        <w:tab/>
      </w:r>
    </w:p>
    <w:p w:rsidR="00946378" w:rsidRDefault="00946378">
      <w:pPr>
        <w:ind w:left="720"/>
      </w:pPr>
      <w:r>
        <w:t xml:space="preserve">The weight </w:t>
      </w:r>
      <w:r>
        <w:sym w:font="Symbol" w:char="F06C"/>
      </w:r>
      <w:r>
        <w:rPr>
          <w:i/>
          <w:iCs/>
          <w:vertAlign w:val="subscript"/>
        </w:rPr>
        <w:t>j</w:t>
      </w:r>
      <w:r>
        <w:t xml:space="preserve"> is the reliability of </w:t>
      </w:r>
      <w:r>
        <w:rPr>
          <w:position w:val="-14"/>
        </w:rPr>
        <w:object w:dxaOrig="340" w:dyaOrig="400">
          <v:shape id="_x0000_i1036" type="#_x0000_t75" style="width:16.7pt;height:20.15pt" o:ole="">
            <v:imagedata r:id="rId21" o:title=""/>
          </v:shape>
          <o:OLEObject Type="Embed" ProgID="Equation.3" ShapeID="_x0000_i1036" DrawAspect="Content" ObjectID="_1567162487" r:id="rId29"/>
        </w:object>
      </w:r>
      <w:r>
        <w:t xml:space="preserve"> as an estimate of </w:t>
      </w:r>
      <w:r w:rsidRPr="007C2778">
        <w:rPr>
          <w:iCs/>
        </w:rPr>
        <w:sym w:font="Symbol" w:char="F062"/>
      </w:r>
      <w:r>
        <w:rPr>
          <w:i/>
          <w:iCs/>
          <w:vertAlign w:val="subscript"/>
        </w:rPr>
        <w:t>0j</w:t>
      </w:r>
      <w:r>
        <w:t xml:space="preserve">.  </w:t>
      </w:r>
    </w:p>
    <w:p w:rsidR="00946378" w:rsidRDefault="00946378">
      <w:pPr>
        <w:ind w:left="720"/>
      </w:pPr>
    </w:p>
    <w:p w:rsidR="00946378" w:rsidRDefault="007C2778">
      <w:pPr>
        <w:ind w:left="720"/>
      </w:pPr>
      <w:r w:rsidRPr="007C2778">
        <w:rPr>
          <w:position w:val="-32"/>
        </w:rPr>
        <w:object w:dxaOrig="2680" w:dyaOrig="740">
          <v:shape id="_x0000_i1037" type="#_x0000_t75" style="width:134.2pt;height:36.85pt" o:ole="">
            <v:imagedata r:id="rId30" o:title=""/>
          </v:shape>
          <o:OLEObject Type="Embed" ProgID="Equation.3" ShapeID="_x0000_i1037" DrawAspect="Content" ObjectID="_1567162488" r:id="rId31"/>
        </w:object>
      </w:r>
      <w:r w:rsidR="00946378">
        <w:t xml:space="preserve"> = </w:t>
      </w:r>
      <w:r w:rsidR="00946378">
        <w:rPr>
          <w:position w:val="-30"/>
        </w:rPr>
        <w:object w:dxaOrig="3739" w:dyaOrig="680">
          <v:shape id="_x0000_i1038" type="#_x0000_t75" style="width:186.6pt;height:34.55pt" o:ole="">
            <v:imagedata r:id="rId32" o:title=""/>
          </v:shape>
          <o:OLEObject Type="Embed" ProgID="Equation.3" ShapeID="_x0000_i1038" DrawAspect="Content" ObjectID="_1567162489" r:id="rId33"/>
        </w:object>
      </w:r>
      <w:r w:rsidR="00946378">
        <w:t>.</w:t>
      </w:r>
    </w:p>
    <w:p w:rsidR="00946378" w:rsidRDefault="00946378">
      <w:pPr>
        <w:ind w:left="720"/>
      </w:pPr>
    </w:p>
    <w:p w:rsidR="00946378" w:rsidRDefault="00946378"/>
    <w:p w:rsidR="00946378" w:rsidRDefault="00946378"/>
    <w:p w:rsidR="00946378" w:rsidRPr="00E063D4" w:rsidRDefault="00946378" w:rsidP="007C2778">
      <w:pPr>
        <w:ind w:left="450" w:hanging="450"/>
        <w:rPr>
          <w:b/>
        </w:rPr>
      </w:pPr>
      <w:r w:rsidRPr="00E063D4">
        <w:rPr>
          <w:b/>
        </w:rPr>
        <w:t xml:space="preserve">Maximum likelihood estimates of variance and covariance components, </w:t>
      </w:r>
      <w:r w:rsidRPr="00E063D4">
        <w:rPr>
          <w:b/>
          <w:iCs/>
        </w:rPr>
        <w:sym w:font="Symbol" w:char="F073"/>
      </w:r>
      <w:r w:rsidRPr="00E063D4">
        <w:rPr>
          <w:b/>
          <w:vertAlign w:val="superscript"/>
        </w:rPr>
        <w:t>2</w:t>
      </w:r>
      <w:r w:rsidRPr="00E063D4">
        <w:rPr>
          <w:b/>
        </w:rPr>
        <w:t xml:space="preserve"> at Level-1, and </w:t>
      </w:r>
      <w:r w:rsidRPr="00E063D4">
        <w:rPr>
          <w:rFonts w:ascii="Arial" w:hAnsi="Arial" w:cs="Arial"/>
          <w:b/>
          <w:bCs/>
        </w:rPr>
        <w:t>T</w:t>
      </w:r>
      <w:r w:rsidRPr="00E063D4">
        <w:rPr>
          <w:b/>
        </w:rPr>
        <w:t xml:space="preserve"> at Level-2</w:t>
      </w:r>
    </w:p>
    <w:p w:rsidR="00946378" w:rsidRDefault="00946378"/>
    <w:p w:rsidR="00946378" w:rsidRDefault="00946378">
      <w:r>
        <w:t xml:space="preserve">Because of the unbalanced nature of the data in most applications of hierarchical linear models (i.e., </w:t>
      </w:r>
      <w:proofErr w:type="spellStart"/>
      <w:proofErr w:type="gramStart"/>
      <w:r>
        <w:rPr>
          <w:i/>
          <w:iCs/>
        </w:rPr>
        <w:t>n</w:t>
      </w:r>
      <w:r>
        <w:rPr>
          <w:i/>
          <w:iCs/>
          <w:vertAlign w:val="subscript"/>
        </w:rPr>
        <w:t>i</w:t>
      </w:r>
      <w:proofErr w:type="spellEnd"/>
      <w:proofErr w:type="gramEnd"/>
      <w:r>
        <w:t xml:space="preserve"> varies across the </w:t>
      </w:r>
      <w:r>
        <w:rPr>
          <w:b/>
          <w:bCs/>
          <w:i/>
          <w:iCs/>
        </w:rPr>
        <w:t>J</w:t>
      </w:r>
      <w:r>
        <w:t xml:space="preserve"> units and the observed patterns on the level-1 predictors also vary), traditional methods for variance-covariance component estimation fail to yield efficient estimates. Through iterative computing techniques, such as the EM algorithm and Fisher scoring, maximum-likelihood estimates for </w:t>
      </w:r>
      <w:r w:rsidRPr="007C2778">
        <w:rPr>
          <w:iCs/>
        </w:rPr>
        <w:sym w:font="Symbol" w:char="F073"/>
      </w:r>
      <w:proofErr w:type="gramStart"/>
      <w:r>
        <w:rPr>
          <w:vertAlign w:val="superscript"/>
        </w:rPr>
        <w:t>2</w:t>
      </w:r>
      <w:proofErr w:type="gramEnd"/>
      <w:r>
        <w:t xml:space="preserve"> and </w:t>
      </w:r>
      <w:r>
        <w:rPr>
          <w:rFonts w:ascii="Arial" w:hAnsi="Arial" w:cs="Arial"/>
          <w:b/>
          <w:bCs/>
        </w:rPr>
        <w:t>T</w:t>
      </w:r>
      <w:r>
        <w:t xml:space="preserve"> can be obtained.  In the program output, these estimates are denoted by </w:t>
      </w:r>
      <w:r w:rsidR="00BC0285" w:rsidRPr="00BC0285">
        <w:rPr>
          <w:iCs/>
          <w:sz w:val="28"/>
          <w:szCs w:val="28"/>
        </w:rPr>
        <w:sym w:font="Symbol" w:char="F073"/>
      </w:r>
      <w:proofErr w:type="gramStart"/>
      <w:r w:rsidR="00BC0285" w:rsidRPr="00BC0285">
        <w:rPr>
          <w:sz w:val="28"/>
          <w:szCs w:val="28"/>
          <w:vertAlign w:val="superscript"/>
        </w:rPr>
        <w:t>2</w:t>
      </w:r>
      <w:proofErr w:type="gramEnd"/>
      <w:r>
        <w:t xml:space="preserve"> and </w:t>
      </w:r>
      <w:r w:rsidR="00BC0285" w:rsidRPr="00BC0285">
        <w:rPr>
          <w:sz w:val="28"/>
          <w:szCs w:val="28"/>
        </w:rPr>
        <w:t>τ</w:t>
      </w:r>
      <w:r>
        <w:t xml:space="preserve"> respectively.</w:t>
      </w:r>
    </w:p>
    <w:p w:rsidR="00946378" w:rsidRDefault="00946378"/>
    <w:p w:rsidR="00946378" w:rsidRDefault="00946378">
      <w:r>
        <w:t xml:space="preserve">We have been assuming that the variance and covariance components </w:t>
      </w:r>
      <w:proofErr w:type="gramStart"/>
      <w:r>
        <w:t>have been known</w:t>
      </w:r>
      <w:proofErr w:type="gramEnd"/>
      <w:r>
        <w:t xml:space="preserve">.  In practice, we need to estimate these.  One way to think about maximum likelihood estimation is to find estimates of </w:t>
      </w:r>
      <w:r w:rsidRPr="007C2778">
        <w:rPr>
          <w:iCs/>
        </w:rPr>
        <w:sym w:font="Symbol" w:char="F073"/>
      </w:r>
      <w:proofErr w:type="gramStart"/>
      <w:r>
        <w:rPr>
          <w:vertAlign w:val="superscript"/>
        </w:rPr>
        <w:t>2</w:t>
      </w:r>
      <w:proofErr w:type="gramEnd"/>
      <w:r>
        <w:t xml:space="preserve">, </w:t>
      </w:r>
      <w:r>
        <w:rPr>
          <w:rFonts w:ascii="Arial" w:hAnsi="Arial" w:cs="Arial"/>
          <w:b/>
          <w:bCs/>
        </w:rPr>
        <w:t>T</w:t>
      </w:r>
      <w:r>
        <w:t xml:space="preserve">, and </w:t>
      </w:r>
      <w:r>
        <w:sym w:font="Symbol" w:char="F067"/>
      </w:r>
      <w:r>
        <w:t xml:space="preserve"> that maximize the likelihood o</w:t>
      </w:r>
      <w:r w:rsidR="00E063D4">
        <w:t>f observing the actual data Y.</w:t>
      </w:r>
    </w:p>
    <w:p w:rsidR="00946378" w:rsidRDefault="00946378"/>
    <w:p w:rsidR="00DB0796" w:rsidRPr="00E063D4" w:rsidRDefault="00DB0796" w:rsidP="00DB0796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br w:type="page"/>
      </w:r>
      <w:r w:rsidRPr="00E063D4">
        <w:rPr>
          <w:b/>
        </w:rPr>
        <w:lastRenderedPageBreak/>
        <w:t>Some other useful statistics</w:t>
      </w:r>
    </w:p>
    <w:p w:rsidR="00DB0796" w:rsidRDefault="00DB0796" w:rsidP="00DB0796"/>
    <w:p w:rsidR="00DB0796" w:rsidRDefault="00DB0796" w:rsidP="00DB0796"/>
    <w:p w:rsidR="00DB0796" w:rsidRDefault="00DB0796" w:rsidP="00DB0796">
      <w:r>
        <w:t xml:space="preserve">1.  Reliability </w:t>
      </w:r>
      <w:proofErr w:type="gramStart"/>
      <w:r>
        <w:t xml:space="preserve">of </w:t>
      </w:r>
      <w:proofErr w:type="gramEnd"/>
      <w:r w:rsidRPr="007C2778">
        <w:rPr>
          <w:position w:val="-14"/>
        </w:rPr>
        <w:object w:dxaOrig="320" w:dyaOrig="420">
          <v:shape id="_x0000_i1039" type="#_x0000_t75" style="width:16.15pt;height:20.75pt" o:ole="">
            <v:imagedata r:id="rId34" o:title=""/>
          </v:shape>
          <o:OLEObject Type="Embed" ProgID="Equation.3" ShapeID="_x0000_i1039" DrawAspect="Content" ObjectID="_1567162490" r:id="rId35"/>
        </w:object>
      </w:r>
      <w:r>
        <w:t>.</w:t>
      </w:r>
    </w:p>
    <w:p w:rsidR="00DB0796" w:rsidRDefault="00DB0796" w:rsidP="00DB0796"/>
    <w:p w:rsidR="00DB0796" w:rsidRDefault="00DB0796" w:rsidP="00DB0796">
      <w:pPr>
        <w:ind w:firstLine="720"/>
        <w:rPr>
          <w:iCs/>
        </w:rPr>
      </w:pPr>
      <w:r>
        <w:t>Reliability</w:t>
      </w:r>
      <w:r w:rsidRPr="007C2778">
        <w:rPr>
          <w:position w:val="-32"/>
        </w:rPr>
        <w:object w:dxaOrig="2320" w:dyaOrig="740">
          <v:shape id="_x0000_i1040" type="#_x0000_t75" style="width:116.35pt;height:36.85pt" o:ole="">
            <v:imagedata r:id="rId36" o:title=""/>
          </v:shape>
          <o:OLEObject Type="Embed" ProgID="Equation.3" ShapeID="_x0000_i1040" DrawAspect="Content" ObjectID="_1567162491" r:id="rId37"/>
        </w:object>
      </w:r>
      <w:r>
        <w:t xml:space="preserve"> for each </w:t>
      </w:r>
      <w:r>
        <w:rPr>
          <w:i/>
        </w:rPr>
        <w:t>q</w:t>
      </w:r>
      <w:r>
        <w:rPr>
          <w:iCs/>
        </w:rPr>
        <w:t xml:space="preserve"> = 0</w:t>
      </w:r>
      <w:proofErr w:type="gramStart"/>
      <w:r>
        <w:rPr>
          <w:iCs/>
        </w:rPr>
        <w:t>, …,</w:t>
      </w:r>
      <w:proofErr w:type="gramEnd"/>
      <w:r>
        <w:rPr>
          <w:iCs/>
        </w:rPr>
        <w:t xml:space="preserve"> Q.</w:t>
      </w:r>
    </w:p>
    <w:p w:rsidR="00DB0796" w:rsidRDefault="00DB0796" w:rsidP="00DB0796"/>
    <w:p w:rsidR="00DB0796" w:rsidRDefault="00DB0796" w:rsidP="00DB0796"/>
    <w:p w:rsidR="00DB0796" w:rsidRDefault="00DB0796" w:rsidP="00DB0796">
      <w:r>
        <w:t>2.  Least squares residuals, (</w:t>
      </w:r>
      <w:r>
        <w:rPr>
          <w:position w:val="-14"/>
        </w:rPr>
        <w:object w:dxaOrig="320" w:dyaOrig="380">
          <v:shape id="_x0000_i1041" type="#_x0000_t75" style="width:16.15pt;height:19pt" o:ole="">
            <v:imagedata r:id="rId38" o:title=""/>
          </v:shape>
          <o:OLEObject Type="Embed" ProgID="Equation.3" ShapeID="_x0000_i1041" DrawAspect="Content" ObjectID="_1567162492" r:id="rId39"/>
        </w:object>
      </w:r>
      <w:r>
        <w:t>).</w:t>
      </w:r>
    </w:p>
    <w:p w:rsidR="00DB0796" w:rsidRDefault="00DB0796" w:rsidP="00DB0796"/>
    <w:p w:rsidR="00DB0796" w:rsidRDefault="00DB0796" w:rsidP="00DB0796">
      <w:pPr>
        <w:ind w:firstLine="720"/>
      </w:pPr>
      <w:r w:rsidRPr="007C2778">
        <w:rPr>
          <w:position w:val="-34"/>
        </w:rPr>
        <w:object w:dxaOrig="2740" w:dyaOrig="800">
          <v:shape id="_x0000_i1042" type="#_x0000_t75" style="width:137.1pt;height:40.3pt" o:ole="">
            <v:imagedata r:id="rId40" o:title=""/>
          </v:shape>
          <o:OLEObject Type="Embed" ProgID="Equation.3" ShapeID="_x0000_i1042" DrawAspect="Content" ObjectID="_1567162493" r:id="rId41"/>
        </w:object>
      </w:r>
      <w:r>
        <w:t>.</w:t>
      </w:r>
    </w:p>
    <w:p w:rsidR="00DB0796" w:rsidRDefault="00DB0796" w:rsidP="00DB0796"/>
    <w:p w:rsidR="00DB0796" w:rsidRDefault="00DB0796" w:rsidP="00DB0796"/>
    <w:p w:rsidR="00DB0796" w:rsidRDefault="00DB0796" w:rsidP="00DB0796">
      <w:r>
        <w:t>3.  Empirical Bayes residuals (</w:t>
      </w:r>
      <w:r>
        <w:rPr>
          <w:position w:val="-14"/>
        </w:rPr>
        <w:object w:dxaOrig="320" w:dyaOrig="400">
          <v:shape id="_x0000_i1043" type="#_x0000_t75" style="width:16.15pt;height:20.15pt" o:ole="">
            <v:imagedata r:id="rId42" o:title=""/>
          </v:shape>
          <o:OLEObject Type="Embed" ProgID="Equation.3" ShapeID="_x0000_i1043" DrawAspect="Content" ObjectID="_1567162494" r:id="rId43"/>
        </w:object>
      </w:r>
      <w:r>
        <w:t>).</w:t>
      </w:r>
    </w:p>
    <w:p w:rsidR="00DB0796" w:rsidRDefault="00DB0796" w:rsidP="00DB0796"/>
    <w:p w:rsidR="00DB0796" w:rsidRDefault="00DB0796" w:rsidP="00DB0796">
      <w:pPr>
        <w:ind w:firstLine="720"/>
      </w:pPr>
      <w:r w:rsidRPr="007C2778">
        <w:rPr>
          <w:position w:val="-34"/>
        </w:rPr>
        <w:object w:dxaOrig="2740" w:dyaOrig="800">
          <v:shape id="_x0000_i1044" type="#_x0000_t75" style="width:137.1pt;height:40.3pt" o:ole="">
            <v:imagedata r:id="rId44" o:title=""/>
          </v:shape>
          <o:OLEObject Type="Embed" ProgID="Equation.3" ShapeID="_x0000_i1044" DrawAspect="Content" ObjectID="_1567162495" r:id="rId45"/>
        </w:object>
      </w:r>
      <w:r>
        <w:t>.</w:t>
      </w:r>
    </w:p>
    <w:p w:rsidR="00DB0796" w:rsidRDefault="00DB0796" w:rsidP="00DB0796"/>
    <w:p w:rsidR="00946378" w:rsidRDefault="00946378"/>
    <w:p w:rsidR="00946378" w:rsidRPr="00E063D4" w:rsidRDefault="007C2778" w:rsidP="00DB0796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br w:type="page"/>
      </w:r>
      <w:r w:rsidR="00DB0796">
        <w:rPr>
          <w:b/>
        </w:rPr>
        <w:lastRenderedPageBreak/>
        <w:t>Hypothesis T</w:t>
      </w:r>
      <w:r w:rsidR="00946378" w:rsidRPr="00E063D4">
        <w:rPr>
          <w:b/>
        </w:rPr>
        <w:t>esting</w:t>
      </w:r>
    </w:p>
    <w:p w:rsidR="00946378" w:rsidRDefault="00946378"/>
    <w:p w:rsidR="00946378" w:rsidRDefault="00946378"/>
    <w:p w:rsidR="00946378" w:rsidRDefault="00946378">
      <w:pPr>
        <w:rPr>
          <w:i/>
        </w:rPr>
      </w:pPr>
      <w:r w:rsidRPr="00DB0796">
        <w:rPr>
          <w:i/>
        </w:rPr>
        <w:t xml:space="preserve">Hypothesis </w:t>
      </w:r>
      <w:r w:rsidR="00DB0796">
        <w:rPr>
          <w:i/>
        </w:rPr>
        <w:t>T</w:t>
      </w:r>
      <w:r w:rsidRPr="00DB0796">
        <w:rPr>
          <w:i/>
        </w:rPr>
        <w:t xml:space="preserve">ests for the </w:t>
      </w:r>
      <w:r w:rsidR="00DB0796">
        <w:rPr>
          <w:i/>
        </w:rPr>
        <w:t>L</w:t>
      </w:r>
      <w:r w:rsidRPr="00DB0796">
        <w:rPr>
          <w:i/>
        </w:rPr>
        <w:t xml:space="preserve">evel-2 </w:t>
      </w:r>
      <w:r w:rsidR="00DB0796">
        <w:rPr>
          <w:i/>
        </w:rPr>
        <w:t>F</w:t>
      </w:r>
      <w:r w:rsidRPr="00DB0796">
        <w:rPr>
          <w:i/>
        </w:rPr>
        <w:t xml:space="preserve">ixed </w:t>
      </w:r>
      <w:r w:rsidR="00DB0796">
        <w:rPr>
          <w:i/>
        </w:rPr>
        <w:t>E</w:t>
      </w:r>
      <w:r w:rsidRPr="00DB0796">
        <w:rPr>
          <w:i/>
        </w:rPr>
        <w:t xml:space="preserve">ffects and the </w:t>
      </w:r>
      <w:r w:rsidR="00DB0796">
        <w:rPr>
          <w:i/>
        </w:rPr>
        <w:t>V</w:t>
      </w:r>
      <w:r w:rsidRPr="00DB0796">
        <w:rPr>
          <w:i/>
        </w:rPr>
        <w:t>ariance-</w:t>
      </w:r>
      <w:r w:rsidR="00DB0796">
        <w:rPr>
          <w:i/>
        </w:rPr>
        <w:t>C</w:t>
      </w:r>
      <w:r w:rsidRPr="00DB0796">
        <w:rPr>
          <w:i/>
        </w:rPr>
        <w:t xml:space="preserve">ovariance </w:t>
      </w:r>
      <w:r w:rsidR="00DB0796">
        <w:rPr>
          <w:i/>
        </w:rPr>
        <w:t>C</w:t>
      </w:r>
      <w:r w:rsidRPr="00DB0796">
        <w:rPr>
          <w:i/>
        </w:rPr>
        <w:t>omponents</w:t>
      </w:r>
    </w:p>
    <w:p w:rsidR="00415A89" w:rsidRPr="00415A89" w:rsidRDefault="00415A89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2610"/>
        <w:gridCol w:w="3330"/>
      </w:tblGrid>
      <w:tr w:rsidR="00946378">
        <w:tc>
          <w:tcPr>
            <w:tcW w:w="3618" w:type="dxa"/>
          </w:tcPr>
          <w:p w:rsidR="00946378" w:rsidRDefault="00946378">
            <w:r>
              <w:t>Type of Hypothesis</w:t>
            </w:r>
          </w:p>
        </w:tc>
        <w:tc>
          <w:tcPr>
            <w:tcW w:w="2610" w:type="dxa"/>
          </w:tcPr>
          <w:p w:rsidR="00946378" w:rsidRDefault="00946378">
            <w:r>
              <w:t>Test Statistic</w:t>
            </w:r>
          </w:p>
        </w:tc>
        <w:tc>
          <w:tcPr>
            <w:tcW w:w="3330" w:type="dxa"/>
          </w:tcPr>
          <w:p w:rsidR="00946378" w:rsidRDefault="00946378">
            <w:r>
              <w:t>Program Output</w:t>
            </w:r>
          </w:p>
        </w:tc>
      </w:tr>
      <w:tr w:rsidR="00946378">
        <w:tc>
          <w:tcPr>
            <w:tcW w:w="3618" w:type="dxa"/>
          </w:tcPr>
          <w:p w:rsidR="00946378" w:rsidRDefault="00946378">
            <w:pPr>
              <w:pStyle w:val="Heading1"/>
            </w:pPr>
            <w:r>
              <w:t>Fixed level-2 effects</w:t>
            </w:r>
          </w:p>
        </w:tc>
        <w:tc>
          <w:tcPr>
            <w:tcW w:w="2610" w:type="dxa"/>
          </w:tcPr>
          <w:p w:rsidR="00946378" w:rsidRDefault="00946378"/>
        </w:tc>
        <w:tc>
          <w:tcPr>
            <w:tcW w:w="3330" w:type="dxa"/>
          </w:tcPr>
          <w:p w:rsidR="00946378" w:rsidRDefault="00946378"/>
        </w:tc>
      </w:tr>
      <w:tr w:rsidR="00946378">
        <w:tc>
          <w:tcPr>
            <w:tcW w:w="3618" w:type="dxa"/>
          </w:tcPr>
          <w:p w:rsidR="00946378" w:rsidRDefault="0083359E">
            <w:r>
              <w:t>Single-parameter:</w:t>
            </w:r>
          </w:p>
          <w:p w:rsidR="00946378" w:rsidRDefault="00946378">
            <w:r>
              <w:rPr>
                <w:i/>
                <w:iCs/>
              </w:rP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 w:rsidRPr="007C2778">
              <w:rPr>
                <w:iCs/>
              </w:rPr>
              <w:sym w:font="Symbol" w:char="F067"/>
            </w:r>
            <w:proofErr w:type="spellStart"/>
            <w:r>
              <w:rPr>
                <w:i/>
                <w:iCs/>
                <w:vertAlign w:val="subscript"/>
              </w:rPr>
              <w:t>qs</w:t>
            </w:r>
            <w:proofErr w:type="spellEnd"/>
            <w:r>
              <w:t xml:space="preserve"> = 0</w:t>
            </w:r>
          </w:p>
          <w:p w:rsidR="00946378" w:rsidRDefault="00946378">
            <w:r>
              <w:rPr>
                <w:i/>
                <w:iCs/>
              </w:rPr>
              <w:t>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 w:rsidRPr="007C2778">
              <w:rPr>
                <w:iCs/>
              </w:rPr>
              <w:sym w:font="Symbol" w:char="F067"/>
            </w:r>
            <w:proofErr w:type="spellStart"/>
            <w:r>
              <w:rPr>
                <w:i/>
                <w:iCs/>
                <w:vertAlign w:val="subscript"/>
              </w:rPr>
              <w:t>qs</w:t>
            </w:r>
            <w:proofErr w:type="spellEnd"/>
            <w:r>
              <w:t xml:space="preserve"> </w:t>
            </w:r>
            <w:r>
              <w:sym w:font="Symbol" w:char="F0B9"/>
            </w:r>
            <w:r>
              <w:t xml:space="preserve"> 0</w:t>
            </w:r>
          </w:p>
        </w:tc>
        <w:tc>
          <w:tcPr>
            <w:tcW w:w="2610" w:type="dxa"/>
          </w:tcPr>
          <w:p w:rsidR="00946378" w:rsidRDefault="00946378" w:rsidP="0083359E">
            <w:r w:rsidRPr="00767549">
              <w:rPr>
                <w:i/>
              </w:rPr>
              <w:t>t</w:t>
            </w:r>
            <w:r>
              <w:t>-ratio (</w:t>
            </w:r>
            <w:r w:rsidR="0083359E">
              <w:t>a</w:t>
            </w:r>
            <w:r>
              <w:t>)</w:t>
            </w:r>
          </w:p>
        </w:tc>
        <w:tc>
          <w:tcPr>
            <w:tcW w:w="3330" w:type="dxa"/>
          </w:tcPr>
          <w:p w:rsidR="00946378" w:rsidRDefault="00946378" w:rsidP="0083359E">
            <w:r>
              <w:t xml:space="preserve">Standard feature of the </w:t>
            </w:r>
            <w:r w:rsidR="0083359E">
              <w:t>f</w:t>
            </w:r>
            <w:r>
              <w:t xml:space="preserve">ixed </w:t>
            </w:r>
            <w:r w:rsidR="0083359E">
              <w:t>e</w:t>
            </w:r>
            <w:r>
              <w:t xml:space="preserve">ffects </w:t>
            </w:r>
            <w:r w:rsidR="0083359E">
              <w:t>t</w:t>
            </w:r>
            <w:r>
              <w:t>able for all level-2 coefficients.</w:t>
            </w:r>
          </w:p>
        </w:tc>
      </w:tr>
      <w:tr w:rsidR="00946378">
        <w:tc>
          <w:tcPr>
            <w:tcW w:w="3618" w:type="dxa"/>
          </w:tcPr>
          <w:p w:rsidR="00946378" w:rsidRDefault="00946378">
            <w:r>
              <w:t>Multi-parameter (contrast vectors):</w:t>
            </w:r>
          </w:p>
          <w:p w:rsidR="00946378" w:rsidRDefault="00946378">
            <w:r>
              <w:rPr>
                <w:i/>
                <w:iCs/>
              </w:rP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b/>
                <w:bCs/>
                <w:i/>
                <w:iCs/>
              </w:rPr>
              <w:t>C</w:t>
            </w:r>
            <w:r>
              <w:rPr>
                <w:b/>
                <w:bCs/>
              </w:rPr>
              <w:sym w:font="Symbol" w:char="F0A2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Symbol" w:char="F067"/>
            </w:r>
            <w:r>
              <w:t xml:space="preserve"> = </w:t>
            </w:r>
            <w:r>
              <w:rPr>
                <w:b/>
                <w:bCs/>
              </w:rPr>
              <w:t>0</w:t>
            </w:r>
          </w:p>
          <w:p w:rsidR="00946378" w:rsidRDefault="00946378">
            <w:r>
              <w:rPr>
                <w:i/>
                <w:iCs/>
              </w:rPr>
              <w:t>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b/>
                <w:bCs/>
                <w:i/>
                <w:iCs/>
              </w:rPr>
              <w:t>C</w:t>
            </w:r>
            <w:r>
              <w:rPr>
                <w:b/>
                <w:bCs/>
              </w:rPr>
              <w:sym w:font="Symbol" w:char="F0A2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Symbol" w:char="F067"/>
            </w:r>
            <w:r>
              <w:t xml:space="preserve"> </w:t>
            </w:r>
            <w:r>
              <w:sym w:font="Symbol" w:char="F0B9"/>
            </w:r>
            <w:r>
              <w:t xml:space="preserve"> </w:t>
            </w:r>
            <w:r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:rsidR="00946378" w:rsidRDefault="00946378" w:rsidP="0083359E">
            <w:r>
              <w:t>General linear hypothesis test (Wald test), chi-square test (</w:t>
            </w:r>
            <w:r w:rsidR="0083359E">
              <w:t>b</w:t>
            </w:r>
            <w:r>
              <w:t>)</w:t>
            </w:r>
          </w:p>
        </w:tc>
        <w:tc>
          <w:tcPr>
            <w:tcW w:w="3330" w:type="dxa"/>
          </w:tcPr>
          <w:p w:rsidR="00946378" w:rsidRDefault="00946378">
            <w:r>
              <w:t>Optional output specification</w:t>
            </w:r>
          </w:p>
        </w:tc>
      </w:tr>
      <w:tr w:rsidR="00946378">
        <w:tc>
          <w:tcPr>
            <w:tcW w:w="3618" w:type="dxa"/>
          </w:tcPr>
          <w:p w:rsidR="00946378" w:rsidRDefault="00946378">
            <w:pPr>
              <w:rPr>
                <w:i/>
                <w:iCs/>
              </w:rPr>
            </w:pPr>
            <w:r>
              <w:rPr>
                <w:i/>
                <w:iCs/>
              </w:rPr>
              <w:t>Variance-covariance components</w:t>
            </w:r>
          </w:p>
        </w:tc>
        <w:tc>
          <w:tcPr>
            <w:tcW w:w="2610" w:type="dxa"/>
          </w:tcPr>
          <w:p w:rsidR="00946378" w:rsidRDefault="00946378"/>
        </w:tc>
        <w:tc>
          <w:tcPr>
            <w:tcW w:w="3330" w:type="dxa"/>
          </w:tcPr>
          <w:p w:rsidR="00946378" w:rsidRDefault="00946378"/>
        </w:tc>
      </w:tr>
      <w:tr w:rsidR="00946378">
        <w:tc>
          <w:tcPr>
            <w:tcW w:w="3618" w:type="dxa"/>
          </w:tcPr>
          <w:p w:rsidR="00946378" w:rsidRDefault="0083359E">
            <w:r>
              <w:t>Single-parameter:</w:t>
            </w:r>
          </w:p>
          <w:p w:rsidR="00946378" w:rsidRDefault="00946378">
            <w:r>
              <w:rPr>
                <w:i/>
                <w:iCs/>
              </w:rP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 w:rsidRPr="00767549">
              <w:rPr>
                <w:iCs/>
              </w:rPr>
              <w:sym w:font="Symbol" w:char="F074"/>
            </w:r>
            <w:proofErr w:type="spellStart"/>
            <w:r>
              <w:rPr>
                <w:i/>
                <w:iCs/>
                <w:vertAlign w:val="subscript"/>
              </w:rPr>
              <w:t>qq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= 0</w:t>
            </w:r>
          </w:p>
          <w:p w:rsidR="00946378" w:rsidRDefault="00946378">
            <w:r>
              <w:rPr>
                <w:i/>
                <w:iCs/>
              </w:rPr>
              <w:t>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 w:rsidRPr="00767549">
              <w:rPr>
                <w:iCs/>
              </w:rPr>
              <w:sym w:font="Symbol" w:char="F074"/>
            </w:r>
            <w:proofErr w:type="spellStart"/>
            <w:r>
              <w:rPr>
                <w:i/>
                <w:iCs/>
                <w:vertAlign w:val="subscript"/>
              </w:rPr>
              <w:t>qq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sym w:font="Symbol" w:char="F0B9"/>
            </w:r>
            <w:r>
              <w:t xml:space="preserve"> 0</w:t>
            </w:r>
          </w:p>
        </w:tc>
        <w:tc>
          <w:tcPr>
            <w:tcW w:w="2610" w:type="dxa"/>
          </w:tcPr>
          <w:p w:rsidR="00946378" w:rsidRDefault="00946378" w:rsidP="0083359E">
            <w:r>
              <w:t>Chi-square test (</w:t>
            </w:r>
            <w:r w:rsidR="0083359E">
              <w:t>c</w:t>
            </w:r>
            <w:r>
              <w:t>)</w:t>
            </w:r>
          </w:p>
        </w:tc>
        <w:tc>
          <w:tcPr>
            <w:tcW w:w="3330" w:type="dxa"/>
          </w:tcPr>
          <w:p w:rsidR="00946378" w:rsidRDefault="00946378" w:rsidP="0083359E">
            <w:r>
              <w:t xml:space="preserve">Standard feature of the </w:t>
            </w:r>
            <w:r w:rsidR="0083359E">
              <w:t>v</w:t>
            </w:r>
            <w:r>
              <w:t xml:space="preserve">ariance </w:t>
            </w:r>
            <w:r w:rsidR="0083359E">
              <w:t>c</w:t>
            </w:r>
            <w:r>
              <w:t xml:space="preserve">omponents </w:t>
            </w:r>
            <w:r w:rsidR="0083359E">
              <w:t>t</w:t>
            </w:r>
            <w:r>
              <w:t xml:space="preserve">able for all </w:t>
            </w:r>
            <w:r w:rsidR="0083359E">
              <w:t>l</w:t>
            </w:r>
            <w:r>
              <w:t>evel-2 random effects.</w:t>
            </w:r>
          </w:p>
        </w:tc>
      </w:tr>
      <w:tr w:rsidR="00946378">
        <w:tc>
          <w:tcPr>
            <w:tcW w:w="3618" w:type="dxa"/>
          </w:tcPr>
          <w:p w:rsidR="00946378" w:rsidRDefault="0083359E">
            <w:r>
              <w:t>Multi-parameter:</w:t>
            </w:r>
          </w:p>
          <w:p w:rsidR="00946378" w:rsidRDefault="00946378">
            <w:pPr>
              <w:rPr>
                <w:vertAlign w:val="subscript"/>
              </w:rPr>
            </w:pPr>
            <w:r>
              <w:rPr>
                <w:i/>
                <w:iCs/>
              </w:rP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b/>
                <w:bCs/>
              </w:rPr>
              <w:t>T</w:t>
            </w:r>
            <w:r>
              <w:t xml:space="preserve"> = </w:t>
            </w:r>
            <w:r>
              <w:rPr>
                <w:b/>
                <w:bCs/>
              </w:rPr>
              <w:t>T</w:t>
            </w:r>
            <w:r w:rsidRPr="0083359E">
              <w:rPr>
                <w:bCs/>
                <w:vertAlign w:val="subscript"/>
              </w:rPr>
              <w:t>0</w:t>
            </w:r>
          </w:p>
          <w:p w:rsidR="00946378" w:rsidRDefault="00946378">
            <w:pPr>
              <w:rPr>
                <w:vertAlign w:val="subscript"/>
              </w:rPr>
            </w:pPr>
            <w:r>
              <w:rPr>
                <w:i/>
                <w:iCs/>
              </w:rPr>
              <w:t>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b/>
                <w:bCs/>
              </w:rPr>
              <w:t>T</w:t>
            </w:r>
            <w:r>
              <w:t xml:space="preserve"> = </w:t>
            </w:r>
            <w:r>
              <w:rPr>
                <w:b/>
                <w:bCs/>
              </w:rPr>
              <w:t>T</w:t>
            </w:r>
            <w:r w:rsidRPr="0083359E">
              <w:rPr>
                <w:bCs/>
                <w:vertAlign w:val="subscript"/>
              </w:rPr>
              <w:t>1</w:t>
            </w:r>
          </w:p>
        </w:tc>
        <w:tc>
          <w:tcPr>
            <w:tcW w:w="2610" w:type="dxa"/>
          </w:tcPr>
          <w:p w:rsidR="00946378" w:rsidRDefault="00946378" w:rsidP="0083359E">
            <w:r>
              <w:t>Difference in d</w:t>
            </w:r>
            <w:r w:rsidR="0083359E">
              <w:t xml:space="preserve">eviances, likelihood ratio test </w:t>
            </w:r>
            <w:r>
              <w:t>(</w:t>
            </w:r>
            <w:r w:rsidR="0083359E">
              <w:t>d</w:t>
            </w:r>
            <w:r>
              <w:t>)</w:t>
            </w:r>
            <w:r w:rsidR="00B924E4">
              <w:t>, where H = D</w:t>
            </w:r>
            <w:r w:rsidR="00B924E4" w:rsidRPr="00B924E4">
              <w:rPr>
                <w:vertAlign w:val="subscript"/>
              </w:rPr>
              <w:t>0</w:t>
            </w:r>
            <w:r w:rsidR="00B924E4">
              <w:t xml:space="preserve"> – D</w:t>
            </w:r>
            <w:r w:rsidR="00B924E4" w:rsidRPr="00B924E4">
              <w:rPr>
                <w:vertAlign w:val="subscript"/>
              </w:rPr>
              <w:t>1</w:t>
            </w:r>
          </w:p>
        </w:tc>
        <w:tc>
          <w:tcPr>
            <w:tcW w:w="3330" w:type="dxa"/>
          </w:tcPr>
          <w:p w:rsidR="00946378" w:rsidRDefault="00946378">
            <w:r>
              <w:t>Optional output specification</w:t>
            </w:r>
          </w:p>
        </w:tc>
      </w:tr>
    </w:tbl>
    <w:p w:rsidR="00946378" w:rsidRDefault="00946378"/>
    <w:p w:rsidR="00946378" w:rsidRDefault="00946378">
      <w:r>
        <w:t>(</w:t>
      </w:r>
      <w:r w:rsidR="0083359E">
        <w:t>a</w:t>
      </w:r>
      <w:r>
        <w:t xml:space="preserve">) </w:t>
      </w:r>
      <w:r w:rsidR="00767549">
        <w:t>See Equation 3.83</w:t>
      </w:r>
      <w:r>
        <w:t xml:space="preserve"> in</w:t>
      </w:r>
      <w:r w:rsidRPr="00DB0796">
        <w:t xml:space="preserve"> </w:t>
      </w:r>
      <w:r w:rsidR="00DB0796" w:rsidRPr="00DB0796">
        <w:rPr>
          <w:iCs/>
        </w:rPr>
        <w:t>RB (2002)</w:t>
      </w:r>
      <w:r w:rsidRPr="00DB0796">
        <w:t>.</w:t>
      </w:r>
    </w:p>
    <w:p w:rsidR="00946378" w:rsidRDefault="0083359E">
      <w:r>
        <w:t>(b</w:t>
      </w:r>
      <w:r w:rsidR="00767549">
        <w:t>) See Equation 3.91</w:t>
      </w:r>
      <w:r w:rsidR="00946378">
        <w:t xml:space="preserve"> in</w:t>
      </w:r>
      <w:r w:rsidR="00DB0796" w:rsidRPr="00DB0796">
        <w:t xml:space="preserve"> </w:t>
      </w:r>
      <w:r w:rsidR="00DB0796" w:rsidRPr="00DB0796">
        <w:rPr>
          <w:iCs/>
        </w:rPr>
        <w:t>RB (2002)</w:t>
      </w:r>
      <w:r w:rsidR="00DB0796" w:rsidRPr="00DB0796">
        <w:t>.</w:t>
      </w:r>
    </w:p>
    <w:p w:rsidR="00946378" w:rsidRDefault="0083359E">
      <w:r>
        <w:t>(c</w:t>
      </w:r>
      <w:r w:rsidR="00767549">
        <w:t>) See Equation 3.103</w:t>
      </w:r>
      <w:r w:rsidR="00946378">
        <w:t xml:space="preserve"> in</w:t>
      </w:r>
      <w:r w:rsidR="00DB0796" w:rsidRPr="00DB0796">
        <w:t xml:space="preserve"> </w:t>
      </w:r>
      <w:r w:rsidR="00DB0796" w:rsidRPr="00DB0796">
        <w:rPr>
          <w:iCs/>
        </w:rPr>
        <w:t>RB (2002)</w:t>
      </w:r>
      <w:r w:rsidR="00DB0796" w:rsidRPr="00DB0796">
        <w:t>.</w:t>
      </w:r>
    </w:p>
    <w:p w:rsidR="00946378" w:rsidRDefault="0083359E">
      <w:proofErr w:type="gramStart"/>
      <w:r>
        <w:t>(d</w:t>
      </w:r>
      <w:r w:rsidR="00946378">
        <w:t>) Here</w:t>
      </w:r>
      <w:proofErr w:type="gramEnd"/>
      <w:r w:rsidR="00946378">
        <w:t xml:space="preserve"> </w:t>
      </w:r>
      <w:r w:rsidR="00946378" w:rsidRPr="0083359E">
        <w:rPr>
          <w:b/>
        </w:rPr>
        <w:t>T</w:t>
      </w:r>
      <w:r w:rsidR="00946378">
        <w:rPr>
          <w:vertAlign w:val="subscript"/>
        </w:rPr>
        <w:t>0</w:t>
      </w:r>
      <w:r w:rsidR="00946378">
        <w:t xml:space="preserve"> is a reduced form of </w:t>
      </w:r>
      <w:r w:rsidR="00946378" w:rsidRPr="0083359E">
        <w:rPr>
          <w:b/>
        </w:rPr>
        <w:t>T</w:t>
      </w:r>
      <w:r w:rsidR="00946378">
        <w:rPr>
          <w:vertAlign w:val="subscript"/>
        </w:rPr>
        <w:t>1</w:t>
      </w:r>
      <w:r w:rsidR="00946378">
        <w:t>.</w:t>
      </w:r>
      <w:r w:rsidR="00767549">
        <w:t xml:space="preserve"> See Equation 3.107 in</w:t>
      </w:r>
      <w:r w:rsidR="00DB0796" w:rsidRPr="00DB0796">
        <w:t xml:space="preserve"> </w:t>
      </w:r>
      <w:r w:rsidR="00DB0796" w:rsidRPr="00DB0796">
        <w:rPr>
          <w:iCs/>
        </w:rPr>
        <w:t>RB (2002)</w:t>
      </w:r>
      <w:r w:rsidR="00DB0796" w:rsidRPr="00DB0796">
        <w:t>.</w:t>
      </w:r>
    </w:p>
    <w:p w:rsidR="00946378" w:rsidRDefault="00946378"/>
    <w:p w:rsidR="00946378" w:rsidRDefault="00946378">
      <w:r>
        <w:t xml:space="preserve">There are several advantages of </w:t>
      </w:r>
      <w:proofErr w:type="spellStart"/>
      <w:r>
        <w:t>multiparameter</w:t>
      </w:r>
      <w:proofErr w:type="spellEnd"/>
      <w:r>
        <w:t xml:space="preserve"> tests:</w:t>
      </w:r>
    </w:p>
    <w:p w:rsidR="00946378" w:rsidRDefault="00946378">
      <w:pPr>
        <w:numPr>
          <w:ilvl w:val="0"/>
          <w:numId w:val="16"/>
        </w:numPr>
      </w:pPr>
      <w:proofErr w:type="gramStart"/>
      <w:r>
        <w:t>an</w:t>
      </w:r>
      <w:proofErr w:type="gramEnd"/>
      <w:r>
        <w:t xml:space="preserve"> omnibus test of the relationship between a categorical Level-2 predictor (e.g., a set of dummy variables for region) and a Level-1 parameter.</w:t>
      </w:r>
    </w:p>
    <w:p w:rsidR="00946378" w:rsidRDefault="00946378">
      <w:pPr>
        <w:numPr>
          <w:ilvl w:val="0"/>
          <w:numId w:val="16"/>
        </w:numPr>
      </w:pPr>
      <w:proofErr w:type="gramStart"/>
      <w:r>
        <w:t>contrasts</w:t>
      </w:r>
      <w:proofErr w:type="gramEnd"/>
      <w:r>
        <w:t xml:space="preserve"> between categories of a Level-2 predictor.</w:t>
      </w:r>
    </w:p>
    <w:p w:rsidR="00946378" w:rsidRDefault="00946378">
      <w:pPr>
        <w:numPr>
          <w:ilvl w:val="0"/>
          <w:numId w:val="16"/>
        </w:numPr>
      </w:pPr>
      <w:proofErr w:type="gramStart"/>
      <w:r>
        <w:t>examining</w:t>
      </w:r>
      <w:proofErr w:type="gramEnd"/>
      <w:r>
        <w:t xml:space="preserve"> whether a Level-2 characteristic interacts with any of several Level-1 predictors.</w:t>
      </w:r>
    </w:p>
    <w:p w:rsidR="00946378" w:rsidRDefault="00946378">
      <w:pPr>
        <w:numPr>
          <w:ilvl w:val="0"/>
          <w:numId w:val="16"/>
        </w:numPr>
      </w:pPr>
      <w:proofErr w:type="gramStart"/>
      <w:r>
        <w:t>examining</w:t>
      </w:r>
      <w:proofErr w:type="gramEnd"/>
      <w:r>
        <w:t xml:space="preserve"> whether some subset of Level-2 predictors is needed in a particular </w:t>
      </w:r>
      <w:r w:rsidRPr="007C2778">
        <w:rPr>
          <w:iCs/>
        </w:rPr>
        <w:sym w:font="Symbol" w:char="F062"/>
      </w:r>
      <w:proofErr w:type="spellStart"/>
      <w:r>
        <w:rPr>
          <w:i/>
          <w:iCs/>
          <w:vertAlign w:val="subscript"/>
        </w:rPr>
        <w:t>qj</w:t>
      </w:r>
      <w:proofErr w:type="spellEnd"/>
      <w:r>
        <w:t xml:space="preserve"> model.</w:t>
      </w:r>
    </w:p>
    <w:p w:rsidR="00946378" w:rsidRDefault="00946378">
      <w:pPr>
        <w:numPr>
          <w:ilvl w:val="0"/>
          <w:numId w:val="16"/>
        </w:numPr>
      </w:pPr>
      <w:proofErr w:type="gramStart"/>
      <w:r>
        <w:t>many</w:t>
      </w:r>
      <w:proofErr w:type="gramEnd"/>
      <w:r>
        <w:t xml:space="preserve"> of these protect against increasing the probability of Type-I errors.</w:t>
      </w:r>
    </w:p>
    <w:p w:rsidR="00946378" w:rsidRDefault="00946378"/>
    <w:p w:rsidR="007C2778" w:rsidRDefault="007C2778"/>
    <w:sectPr w:rsidR="007C2778" w:rsidSect="005A396A">
      <w:footerReference w:type="default" r:id="rId4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1B" w:rsidRDefault="00752A1B">
      <w:r>
        <w:separator/>
      </w:r>
    </w:p>
  </w:endnote>
  <w:endnote w:type="continuationSeparator" w:id="0">
    <w:p w:rsidR="00752A1B" w:rsidRDefault="0075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6A" w:rsidRPr="00BC0285" w:rsidRDefault="00A60C07" w:rsidP="00A60C0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BC0285">
      <w:rPr>
        <w:sz w:val="20"/>
        <w:szCs w:val="20"/>
      </w:rPr>
      <w:t>EPSY 8268</w:t>
    </w:r>
    <w:r w:rsidRPr="00BC0285">
      <w:rPr>
        <w:sz w:val="20"/>
        <w:szCs w:val="20"/>
      </w:rPr>
      <w:tab/>
    </w:r>
    <w:r w:rsidRPr="00BC0285">
      <w:rPr>
        <w:sz w:val="20"/>
        <w:szCs w:val="20"/>
      </w:rPr>
      <w:fldChar w:fldCharType="begin"/>
    </w:r>
    <w:r w:rsidRPr="00BC0285">
      <w:rPr>
        <w:sz w:val="20"/>
        <w:szCs w:val="20"/>
      </w:rPr>
      <w:instrText xml:space="preserve"> PAGE   \* MERGEFORMAT </w:instrText>
    </w:r>
    <w:r w:rsidRPr="00BC0285">
      <w:rPr>
        <w:sz w:val="20"/>
        <w:szCs w:val="20"/>
      </w:rPr>
      <w:fldChar w:fldCharType="separate"/>
    </w:r>
    <w:r w:rsidR="00BC0285">
      <w:rPr>
        <w:noProof/>
        <w:sz w:val="20"/>
        <w:szCs w:val="20"/>
      </w:rPr>
      <w:t>1</w:t>
    </w:r>
    <w:r w:rsidRPr="00BC028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1B" w:rsidRDefault="00752A1B">
      <w:r>
        <w:separator/>
      </w:r>
    </w:p>
  </w:footnote>
  <w:footnote w:type="continuationSeparator" w:id="0">
    <w:p w:rsidR="00752A1B" w:rsidRDefault="0075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54C"/>
    <w:multiLevelType w:val="hybridMultilevel"/>
    <w:tmpl w:val="339074EC"/>
    <w:lvl w:ilvl="0" w:tplc="73E22A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7C2A15"/>
    <w:multiLevelType w:val="hybridMultilevel"/>
    <w:tmpl w:val="DD6C20EA"/>
    <w:lvl w:ilvl="0" w:tplc="801C318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0A026F"/>
    <w:multiLevelType w:val="hybridMultilevel"/>
    <w:tmpl w:val="DF729FDA"/>
    <w:lvl w:ilvl="0" w:tplc="CE24BCA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6C4D93"/>
    <w:multiLevelType w:val="hybridMultilevel"/>
    <w:tmpl w:val="380EE1F4"/>
    <w:lvl w:ilvl="0" w:tplc="F0A0C8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A36B17"/>
    <w:multiLevelType w:val="hybridMultilevel"/>
    <w:tmpl w:val="38B62B7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EF3025"/>
    <w:multiLevelType w:val="hybridMultilevel"/>
    <w:tmpl w:val="319A5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29"/>
    <w:multiLevelType w:val="hybridMultilevel"/>
    <w:tmpl w:val="206E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3E98"/>
    <w:multiLevelType w:val="hybridMultilevel"/>
    <w:tmpl w:val="386839A6"/>
    <w:lvl w:ilvl="0" w:tplc="9FD683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AEDD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4CC175E"/>
    <w:multiLevelType w:val="hybridMultilevel"/>
    <w:tmpl w:val="CDDE3FE6"/>
    <w:lvl w:ilvl="0" w:tplc="318E78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38247A"/>
    <w:multiLevelType w:val="multilevel"/>
    <w:tmpl w:val="2FEE271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99235C8"/>
    <w:multiLevelType w:val="hybridMultilevel"/>
    <w:tmpl w:val="E9AACC92"/>
    <w:lvl w:ilvl="0" w:tplc="D50A89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B64D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EF06D3"/>
    <w:multiLevelType w:val="hybridMultilevel"/>
    <w:tmpl w:val="F0B8699E"/>
    <w:lvl w:ilvl="0" w:tplc="BC0212F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E683F12"/>
    <w:multiLevelType w:val="hybridMultilevel"/>
    <w:tmpl w:val="5E0674AE"/>
    <w:lvl w:ilvl="0" w:tplc="71C4091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1315DD"/>
    <w:multiLevelType w:val="hybridMultilevel"/>
    <w:tmpl w:val="07F20D92"/>
    <w:lvl w:ilvl="0" w:tplc="02C237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0245557"/>
    <w:multiLevelType w:val="multilevel"/>
    <w:tmpl w:val="41D4C2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C7449D"/>
    <w:multiLevelType w:val="hybridMultilevel"/>
    <w:tmpl w:val="0F3A980C"/>
    <w:lvl w:ilvl="0" w:tplc="632AD6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8"/>
  </w:num>
  <w:num w:numId="12">
    <w:abstractNumId w:val="15"/>
  </w:num>
  <w:num w:numId="13">
    <w:abstractNumId w:val="4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3C"/>
    <w:rsid w:val="0001170E"/>
    <w:rsid w:val="000A6BC9"/>
    <w:rsid w:val="000C2014"/>
    <w:rsid w:val="00175F6E"/>
    <w:rsid w:val="001C7794"/>
    <w:rsid w:val="0033233A"/>
    <w:rsid w:val="00415A89"/>
    <w:rsid w:val="005A396A"/>
    <w:rsid w:val="0071285D"/>
    <w:rsid w:val="00752A1B"/>
    <w:rsid w:val="00767549"/>
    <w:rsid w:val="007C2778"/>
    <w:rsid w:val="0083359E"/>
    <w:rsid w:val="008A773C"/>
    <w:rsid w:val="008D4013"/>
    <w:rsid w:val="00946378"/>
    <w:rsid w:val="00A60C07"/>
    <w:rsid w:val="00B829DC"/>
    <w:rsid w:val="00B924E4"/>
    <w:rsid w:val="00BC0285"/>
    <w:rsid w:val="00DB0796"/>
    <w:rsid w:val="00DF27DF"/>
    <w:rsid w:val="00E063D4"/>
    <w:rsid w:val="00E44BFE"/>
    <w:rsid w:val="00E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78B9A"/>
  <w15:chartTrackingRefBased/>
  <w15:docId w15:val="{E553202A-1CAD-4462-BBC2-B94E931E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77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77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773C"/>
  </w:style>
  <w:style w:type="character" w:customStyle="1" w:styleId="FooterChar">
    <w:name w:val="Footer Char"/>
    <w:link w:val="Footer"/>
    <w:uiPriority w:val="99"/>
    <w:rsid w:val="00A60C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Hierarchical Linear Modeling</vt:lpstr>
    </vt:vector>
  </TitlesOfParts>
  <Company>Ed Psych / University of Minnesota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Hierarchical Linear Modeling</dc:title>
  <dc:subject/>
  <dc:creator>Michael C. Rodriguez</dc:creator>
  <cp:keywords/>
  <dc:description/>
  <cp:lastModifiedBy>Michael C Rodriguez</cp:lastModifiedBy>
  <cp:revision>2</cp:revision>
  <cp:lastPrinted>2007-05-01T22:26:00Z</cp:lastPrinted>
  <dcterms:created xsi:type="dcterms:W3CDTF">2017-09-17T19:08:00Z</dcterms:created>
  <dcterms:modified xsi:type="dcterms:W3CDTF">2017-09-17T19:08:00Z</dcterms:modified>
</cp:coreProperties>
</file>