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CE" w:rsidRDefault="00FA7F2E" w:rsidP="008474CE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</w:pPr>
      <w:r>
        <w:t>5</w:t>
      </w:r>
      <w:r w:rsidR="008474CE">
        <w:t>.  Organizational Research</w:t>
      </w:r>
      <w:r w:rsidR="00F77588">
        <w:t xml:space="preserve"> </w:t>
      </w:r>
      <w:r w:rsidR="00F77588" w:rsidRPr="00F77588">
        <w:rPr>
          <w:sz w:val="20"/>
          <w:szCs w:val="20"/>
        </w:rPr>
        <w:t xml:space="preserve">(drawn from </w:t>
      </w:r>
      <w:proofErr w:type="spellStart"/>
      <w:r w:rsidR="00F77588" w:rsidRPr="00F77588">
        <w:rPr>
          <w:sz w:val="20"/>
          <w:szCs w:val="20"/>
        </w:rPr>
        <w:t>Raudenbush</w:t>
      </w:r>
      <w:proofErr w:type="spellEnd"/>
      <w:r w:rsidR="00F77588" w:rsidRPr="00F77588">
        <w:rPr>
          <w:sz w:val="20"/>
          <w:szCs w:val="20"/>
        </w:rPr>
        <w:t xml:space="preserve"> &amp; </w:t>
      </w:r>
      <w:proofErr w:type="spellStart"/>
      <w:r w:rsidR="00F77588" w:rsidRPr="00F77588">
        <w:rPr>
          <w:sz w:val="20"/>
          <w:szCs w:val="20"/>
        </w:rPr>
        <w:t>Bryk</w:t>
      </w:r>
      <w:proofErr w:type="spellEnd"/>
      <w:r w:rsidR="00F77588" w:rsidRPr="00F77588">
        <w:rPr>
          <w:sz w:val="20"/>
          <w:szCs w:val="20"/>
        </w:rPr>
        <w:t>, 2002)</w:t>
      </w:r>
      <w:r w:rsidR="008474CE">
        <w:tab/>
        <w:t>EPSY 8268</w:t>
      </w:r>
    </w:p>
    <w:p w:rsidR="00DE25A1" w:rsidRDefault="00DE25A1"/>
    <w:p w:rsidR="008474CE" w:rsidRDefault="002E6B0B">
      <w:r>
        <w:t>Questions regarding how organizations affect individual.</w:t>
      </w:r>
    </w:p>
    <w:p w:rsidR="002E6B0B" w:rsidRDefault="002E6B0B">
      <w:r>
        <w:t>Level-1 units are persons, and person outcomes are a function of individual characteristics.</w:t>
      </w:r>
    </w:p>
    <w:p w:rsidR="002E6B0B" w:rsidRDefault="002E6B0B">
      <w:r>
        <w:t>Level-2 units are organizations.</w:t>
      </w:r>
    </w:p>
    <w:p w:rsidR="002E6B0B" w:rsidRDefault="002E6B0B">
      <w:r>
        <w:t>Regression coefficients in the level-1 model for each organization are outcome variables that are a function of organizational characteristics.</w:t>
      </w:r>
    </w:p>
    <w:p w:rsidR="002E6B0B" w:rsidRDefault="002E6B0B"/>
    <w:p w:rsidR="002E6B0B" w:rsidRDefault="002E6B0B">
      <w:r>
        <w:t>Generalized Person-Level Model</w:t>
      </w:r>
    </w:p>
    <w:p w:rsidR="002E6B0B" w:rsidRDefault="002E6B0B"/>
    <w:p w:rsidR="002E6B0B" w:rsidRDefault="004221FD" w:rsidP="002E6B0B">
      <w:pPr>
        <w:ind w:firstLine="720"/>
      </w:pPr>
      <w:r>
        <w:rPr>
          <w:position w:val="-14"/>
        </w:rPr>
        <w:object w:dxaOrig="4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8" type="#_x0000_t75" style="width:218.65pt;height:18.65pt" o:ole="">
            <v:imagedata r:id="rId7" o:title=""/>
          </v:shape>
          <o:OLEObject Type="Embed" ProgID="Equation.3" ShapeID="_x0000_i1328" DrawAspect="Content" ObjectID="_1569133224" r:id="rId8"/>
        </w:object>
      </w:r>
    </w:p>
    <w:p w:rsidR="002E6B0B" w:rsidRDefault="002E6B0B" w:rsidP="002E6B0B"/>
    <w:p w:rsidR="002E6B0B" w:rsidRDefault="002E6B0B" w:rsidP="002E6B0B">
      <w:pPr>
        <w:ind w:left="720"/>
      </w:pPr>
      <w:r>
        <w:t xml:space="preserve">We consider the level-1 coefficients to be distributive effects – describe how the outcome </w:t>
      </w:r>
      <w:proofErr w:type="gramStart"/>
      <w:r>
        <w:t>is distributed</w:t>
      </w:r>
      <w:proofErr w:type="gramEnd"/>
      <w:r>
        <w:t xml:space="preserve"> in organization </w:t>
      </w:r>
      <w:r>
        <w:rPr>
          <w:i/>
        </w:rPr>
        <w:t>j</w:t>
      </w:r>
      <w:r>
        <w:t xml:space="preserve"> via person characteristics.</w:t>
      </w:r>
    </w:p>
    <w:p w:rsidR="002E6B0B" w:rsidRDefault="002E6B0B" w:rsidP="002E6B0B"/>
    <w:p w:rsidR="002E6B0B" w:rsidRDefault="00015B8A" w:rsidP="002E6B0B">
      <w:r>
        <w:t>Generalized Organization-Level Model</w:t>
      </w:r>
    </w:p>
    <w:p w:rsidR="00015B8A" w:rsidRDefault="00015B8A" w:rsidP="002E6B0B"/>
    <w:p w:rsidR="00015B8A" w:rsidRDefault="00015B8A" w:rsidP="002E6B0B">
      <w:r>
        <w:tab/>
      </w:r>
      <w:r>
        <w:rPr>
          <w:position w:val="-16"/>
        </w:rPr>
        <w:object w:dxaOrig="4420" w:dyaOrig="400">
          <v:shape id="_x0000_i1026" type="#_x0000_t75" style="width:221.35pt;height:20pt" o:ole="">
            <v:imagedata r:id="rId9" o:title=""/>
          </v:shape>
          <o:OLEObject Type="Embed" ProgID="Equation.3" ShapeID="_x0000_i1026" DrawAspect="Content" ObjectID="_1569133225" r:id="rId10"/>
        </w:object>
      </w:r>
    </w:p>
    <w:p w:rsidR="00015B8A" w:rsidRDefault="00015B8A" w:rsidP="002E6B0B"/>
    <w:p w:rsidR="00015B8A" w:rsidRPr="00015B8A" w:rsidRDefault="00015B8A" w:rsidP="00015B8A">
      <w:pPr>
        <w:tabs>
          <w:tab w:val="center" w:pos="900"/>
          <w:tab w:val="center" w:pos="3870"/>
          <w:tab w:val="center" w:pos="7200"/>
        </w:tabs>
        <w:rPr>
          <w:sz w:val="20"/>
          <w:szCs w:val="20"/>
        </w:rPr>
      </w:pPr>
      <w:r w:rsidRPr="00015B8A">
        <w:rPr>
          <w:sz w:val="20"/>
          <w:szCs w:val="20"/>
        </w:rPr>
        <w:tab/>
        <w:t>Distributive</w:t>
      </w:r>
      <w:r w:rsidRPr="00015B8A">
        <w:rPr>
          <w:sz w:val="20"/>
          <w:szCs w:val="20"/>
        </w:rPr>
        <w:tab/>
        <w:t>effects of organizational characteristics</w:t>
      </w:r>
      <w:r>
        <w:rPr>
          <w:sz w:val="20"/>
          <w:szCs w:val="20"/>
        </w:rPr>
        <w:tab/>
        <w:t>unique effect</w:t>
      </w:r>
    </w:p>
    <w:p w:rsidR="00015B8A" w:rsidRPr="00015B8A" w:rsidRDefault="00015B8A" w:rsidP="00015B8A">
      <w:pPr>
        <w:tabs>
          <w:tab w:val="center" w:pos="900"/>
          <w:tab w:val="center" w:pos="1800"/>
          <w:tab w:val="center" w:pos="3870"/>
          <w:tab w:val="center" w:pos="6030"/>
          <w:tab w:val="center" w:pos="7200"/>
        </w:tabs>
        <w:rPr>
          <w:sz w:val="20"/>
          <w:szCs w:val="20"/>
        </w:rPr>
      </w:pPr>
      <w:r w:rsidRPr="00015B8A">
        <w:rPr>
          <w:sz w:val="20"/>
          <w:szCs w:val="20"/>
        </w:rPr>
        <w:tab/>
      </w:r>
      <w:proofErr w:type="gramStart"/>
      <w:r w:rsidRPr="00015B8A">
        <w:rPr>
          <w:sz w:val="20"/>
          <w:szCs w:val="20"/>
        </w:rPr>
        <w:t>effects</w:t>
      </w:r>
      <w:proofErr w:type="gramEnd"/>
      <w:r w:rsidRPr="00015B8A">
        <w:rPr>
          <w:sz w:val="20"/>
          <w:szCs w:val="20"/>
        </w:rPr>
        <w:t xml:space="preserve"> in </w:t>
      </w:r>
      <w:r w:rsidRPr="00015B8A">
        <w:rPr>
          <w:sz w:val="20"/>
          <w:szCs w:val="20"/>
        </w:rPr>
        <w:tab/>
      </w:r>
      <w:r w:rsidRPr="00015B8A">
        <w:rPr>
          <w:b/>
          <w:sz w:val="20"/>
          <w:szCs w:val="20"/>
        </w:rPr>
        <w:t>=</w:t>
      </w:r>
      <w:r w:rsidRPr="00015B8A">
        <w:rPr>
          <w:sz w:val="20"/>
          <w:szCs w:val="20"/>
        </w:rPr>
        <w:tab/>
        <w:t>on the distribution of outcomes</w:t>
      </w:r>
      <w:r>
        <w:rPr>
          <w:sz w:val="20"/>
          <w:szCs w:val="20"/>
        </w:rPr>
        <w:tab/>
      </w:r>
      <w:r w:rsidRPr="00015B8A">
        <w:rPr>
          <w:b/>
          <w:sz w:val="20"/>
          <w:szCs w:val="20"/>
        </w:rPr>
        <w:t>+</w:t>
      </w:r>
      <w:r>
        <w:rPr>
          <w:sz w:val="20"/>
          <w:szCs w:val="20"/>
        </w:rPr>
        <w:tab/>
        <w:t>associated with</w:t>
      </w:r>
    </w:p>
    <w:p w:rsidR="00015B8A" w:rsidRPr="00015B8A" w:rsidRDefault="00015B8A" w:rsidP="00015B8A">
      <w:pPr>
        <w:tabs>
          <w:tab w:val="center" w:pos="900"/>
          <w:tab w:val="center" w:pos="3870"/>
          <w:tab w:val="center" w:pos="7200"/>
        </w:tabs>
        <w:rPr>
          <w:i/>
          <w:sz w:val="20"/>
          <w:szCs w:val="20"/>
        </w:rPr>
      </w:pPr>
      <w:r w:rsidRPr="00015B8A">
        <w:rPr>
          <w:sz w:val="20"/>
          <w:szCs w:val="20"/>
        </w:rPr>
        <w:tab/>
      </w:r>
      <w:proofErr w:type="gramStart"/>
      <w:r w:rsidRPr="00015B8A">
        <w:rPr>
          <w:sz w:val="20"/>
          <w:szCs w:val="20"/>
        </w:rPr>
        <w:t>organization</w:t>
      </w:r>
      <w:proofErr w:type="gramEnd"/>
      <w:r w:rsidRPr="00015B8A">
        <w:rPr>
          <w:sz w:val="20"/>
          <w:szCs w:val="20"/>
        </w:rPr>
        <w:t xml:space="preserve"> </w:t>
      </w:r>
      <w:r w:rsidRPr="00015B8A">
        <w:rPr>
          <w:i/>
          <w:sz w:val="20"/>
          <w:szCs w:val="20"/>
        </w:rPr>
        <w:t>j</w:t>
      </w:r>
      <w:r w:rsidRPr="00015B8A">
        <w:rPr>
          <w:i/>
          <w:sz w:val="20"/>
          <w:szCs w:val="20"/>
        </w:rPr>
        <w:tab/>
      </w:r>
      <w:r w:rsidRPr="00015B8A">
        <w:rPr>
          <w:sz w:val="20"/>
          <w:szCs w:val="20"/>
        </w:rPr>
        <w:t xml:space="preserve">within organization </w:t>
      </w:r>
      <w:r w:rsidRPr="00015B8A">
        <w:rPr>
          <w:i/>
          <w:sz w:val="20"/>
          <w:szCs w:val="20"/>
        </w:rPr>
        <w:t>j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organization </w:t>
      </w:r>
      <w:r>
        <w:rPr>
          <w:i/>
          <w:sz w:val="20"/>
          <w:szCs w:val="20"/>
        </w:rPr>
        <w:t>j</w:t>
      </w:r>
    </w:p>
    <w:p w:rsidR="00015B8A" w:rsidRDefault="00015B8A" w:rsidP="002E6B0B"/>
    <w:p w:rsidR="00015B8A" w:rsidRDefault="00015B8A" w:rsidP="00015B8A">
      <w:pPr>
        <w:ind w:left="720"/>
      </w:pPr>
      <w:r>
        <w:t xml:space="preserve">Each </w:t>
      </w:r>
      <w:r w:rsidRPr="008D3D75">
        <w:rPr>
          <w:iCs/>
        </w:rPr>
        <w:sym w:font="Symbol" w:char="F062"/>
      </w:r>
      <w:proofErr w:type="spellStart"/>
      <w:r>
        <w:rPr>
          <w:i/>
          <w:iCs/>
          <w:vertAlign w:val="subscript"/>
        </w:rPr>
        <w:t>qj</w:t>
      </w:r>
      <w:proofErr w:type="spellEnd"/>
      <w:r>
        <w:t xml:space="preserve"> becomes an outcome variable that is a function of a set of organizational-level variables and a unique organization effect, </w:t>
      </w:r>
      <w:proofErr w:type="spellStart"/>
      <w:r>
        <w:rPr>
          <w:i/>
          <w:iCs/>
        </w:rPr>
        <w:t>u</w:t>
      </w:r>
      <w:r>
        <w:rPr>
          <w:i/>
          <w:iCs/>
          <w:vertAlign w:val="subscript"/>
        </w:rPr>
        <w:t>qj</w:t>
      </w:r>
      <w:proofErr w:type="spellEnd"/>
      <w:r>
        <w:t>.</w:t>
      </w:r>
    </w:p>
    <w:p w:rsidR="002E6B0B" w:rsidRDefault="002E6B0B" w:rsidP="002E6B0B"/>
    <w:p w:rsidR="00015B8A" w:rsidRDefault="00015B8A" w:rsidP="004D1A04">
      <w:pPr>
        <w:rPr>
          <w:iCs/>
        </w:rPr>
      </w:pPr>
      <w:r>
        <w:tab/>
        <w:t xml:space="preserve">The </w:t>
      </w:r>
      <w:r w:rsidRPr="008D3D75">
        <w:rPr>
          <w:iCs/>
        </w:rPr>
        <w:sym w:font="Symbol" w:char="F067"/>
      </w:r>
      <w:proofErr w:type="spellStart"/>
      <w:r>
        <w:rPr>
          <w:i/>
          <w:iCs/>
          <w:vertAlign w:val="subscript"/>
        </w:rPr>
        <w:t>qs</w:t>
      </w:r>
      <w:proofErr w:type="spellEnd"/>
      <w:r>
        <w:t xml:space="preserve"> coefficients capture the influence of organizational </w:t>
      </w:r>
      <w:r w:rsidR="004D1A04">
        <w:t xml:space="preserve">variables </w:t>
      </w:r>
      <w:proofErr w:type="spellStart"/>
      <w:r w:rsidR="004D1A04">
        <w:rPr>
          <w:i/>
          <w:iCs/>
        </w:rPr>
        <w:t>W</w:t>
      </w:r>
      <w:r w:rsidR="004D1A04">
        <w:rPr>
          <w:i/>
          <w:iCs/>
          <w:vertAlign w:val="subscript"/>
        </w:rPr>
        <w:t>sj</w:t>
      </w:r>
      <w:proofErr w:type="spellEnd"/>
      <w:r w:rsidR="004D1A04">
        <w:rPr>
          <w:iCs/>
        </w:rPr>
        <w:t>.</w:t>
      </w:r>
    </w:p>
    <w:p w:rsidR="004D1A04" w:rsidRDefault="004D1A04" w:rsidP="004D1A04">
      <w:pPr>
        <w:rPr>
          <w:iCs/>
        </w:rPr>
      </w:pPr>
    </w:p>
    <w:p w:rsidR="004D1A04" w:rsidRDefault="004D1A04" w:rsidP="004D1A04">
      <w:pPr>
        <w:rPr>
          <w:iCs/>
        </w:rPr>
      </w:pPr>
    </w:p>
    <w:p w:rsidR="004D1A04" w:rsidRPr="00FA7F2E" w:rsidRDefault="004D1A04" w:rsidP="004D1A04">
      <w:pPr>
        <w:rPr>
          <w:b/>
          <w:iCs/>
        </w:rPr>
      </w:pPr>
      <w:r w:rsidRPr="00FA7F2E">
        <w:rPr>
          <w:b/>
          <w:iCs/>
        </w:rPr>
        <w:t>Case 1 of Organizational Effects</w:t>
      </w:r>
    </w:p>
    <w:p w:rsidR="004D1A04" w:rsidRDefault="004D1A04" w:rsidP="004D1A04">
      <w:pPr>
        <w:rPr>
          <w:iCs/>
        </w:rPr>
      </w:pPr>
    </w:p>
    <w:p w:rsidR="004D1A04" w:rsidRDefault="004D1A04" w:rsidP="004D1A04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Some aspect(s) of the organization have a common influence on persons within the organization, such as resources, structure, climate, etc.</w:t>
      </w:r>
    </w:p>
    <w:p w:rsidR="004D1A04" w:rsidRDefault="004D1A04" w:rsidP="004D1A04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These aspects affect the mean level of the outcome for the organization.</w:t>
      </w:r>
    </w:p>
    <w:p w:rsidR="004D1A04" w:rsidRDefault="004D1A04" w:rsidP="004D1A04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The distribution of effects among persons within the organization is unchanged.</w:t>
      </w:r>
    </w:p>
    <w:p w:rsidR="004D1A04" w:rsidRDefault="004D1A04" w:rsidP="004D1A04">
      <w:pPr>
        <w:pStyle w:val="BodyTextIndent"/>
        <w:numPr>
          <w:ilvl w:val="0"/>
          <w:numId w:val="2"/>
        </w:numPr>
        <w:rPr>
          <w:iCs/>
        </w:rPr>
      </w:pPr>
      <w:r>
        <w:rPr>
          <w:iCs/>
        </w:rPr>
        <w:t xml:space="preserve">Only </w:t>
      </w:r>
      <w:r w:rsidRPr="008D3D75">
        <w:rPr>
          <w:iCs/>
        </w:rPr>
        <w:sym w:font="Symbol" w:char="F062"/>
      </w:r>
      <w:r>
        <w:rPr>
          <w:iCs/>
          <w:vertAlign w:val="subscript"/>
        </w:rPr>
        <w:t>0</w:t>
      </w:r>
      <w:r>
        <w:rPr>
          <w:i/>
          <w:iCs/>
          <w:vertAlign w:val="subscript"/>
        </w:rPr>
        <w:t>j</w:t>
      </w:r>
      <w:r>
        <w:rPr>
          <w:iCs/>
        </w:rPr>
        <w:t xml:space="preserve"> varies across organizations.</w:t>
      </w:r>
    </w:p>
    <w:p w:rsidR="004D1A04" w:rsidRDefault="004D1A04" w:rsidP="004D1A04">
      <w:pPr>
        <w:pStyle w:val="BodyTextIndent"/>
        <w:ind w:left="0"/>
        <w:rPr>
          <w:iCs/>
        </w:rPr>
      </w:pPr>
    </w:p>
    <w:p w:rsidR="004D1A04" w:rsidRDefault="004D1A04" w:rsidP="00836541">
      <w:pPr>
        <w:pStyle w:val="BodyTextIndent"/>
        <w:ind w:left="0" w:firstLine="360"/>
        <w:rPr>
          <w:iCs/>
        </w:rPr>
      </w:pPr>
      <w:r>
        <w:rPr>
          <w:iCs/>
        </w:rPr>
        <w:t>The random-intercepts model</w:t>
      </w:r>
    </w:p>
    <w:p w:rsidR="00836541" w:rsidRDefault="00836541" w:rsidP="00836541">
      <w:pPr>
        <w:pStyle w:val="BodyTextIndent"/>
        <w:ind w:left="0" w:firstLine="360"/>
        <w:rPr>
          <w:iCs/>
        </w:rPr>
      </w:pPr>
    </w:p>
    <w:p w:rsidR="00836541" w:rsidRDefault="00836541" w:rsidP="00836541">
      <w:pPr>
        <w:pStyle w:val="BodyTextIndent"/>
        <w:ind w:left="0" w:firstLine="360"/>
      </w:pPr>
      <w:r w:rsidRPr="00836541">
        <w:rPr>
          <w:position w:val="-14"/>
        </w:rPr>
        <w:object w:dxaOrig="4380" w:dyaOrig="380">
          <v:shape id="_x0000_i1046" type="#_x0000_t75" style="width:218.65pt;height:20pt" o:ole="">
            <v:imagedata r:id="rId11" o:title=""/>
          </v:shape>
          <o:OLEObject Type="Embed" ProgID="Equation.3" ShapeID="_x0000_i1046" DrawAspect="Content" ObjectID="_1569133226" r:id="rId12"/>
        </w:object>
      </w:r>
      <w:r>
        <w:t xml:space="preserve"> </w:t>
      </w:r>
    </w:p>
    <w:p w:rsidR="00836541" w:rsidRDefault="00836541" w:rsidP="00836541">
      <w:pPr>
        <w:pStyle w:val="BodyTextIndent"/>
        <w:ind w:left="0" w:firstLine="360"/>
      </w:pPr>
      <w:r>
        <w:rPr>
          <w:position w:val="-14"/>
        </w:rPr>
        <w:object w:dxaOrig="859" w:dyaOrig="380">
          <v:shape id="_x0000_i1032" type="#_x0000_t75" style="width:42.65pt;height:18.65pt" o:ole="">
            <v:imagedata r:id="rId13" o:title=""/>
          </v:shape>
          <o:OLEObject Type="Embed" ProgID="Equation.3" ShapeID="_x0000_i1032" DrawAspect="Content" ObjectID="_1569133227" r:id="rId14"/>
        </w:object>
      </w:r>
    </w:p>
    <w:p w:rsidR="00836541" w:rsidRDefault="00836541" w:rsidP="00836541">
      <w:pPr>
        <w:pStyle w:val="BodyTextIndent"/>
        <w:ind w:left="0" w:firstLine="360"/>
      </w:pPr>
      <w:r>
        <w:rPr>
          <w:position w:val="-14"/>
        </w:rPr>
        <w:object w:dxaOrig="900" w:dyaOrig="380">
          <v:shape id="_x0000_i1037" type="#_x0000_t75" style="width:45.35pt;height:18.65pt" o:ole="">
            <v:imagedata r:id="rId15" o:title=""/>
          </v:shape>
          <o:OLEObject Type="Embed" ProgID="Equation.3" ShapeID="_x0000_i1037" DrawAspect="Content" ObjectID="_1569133228" r:id="rId16"/>
        </w:object>
      </w:r>
    </w:p>
    <w:p w:rsidR="00836541" w:rsidRDefault="00836541" w:rsidP="00836541">
      <w:pPr>
        <w:pStyle w:val="BodyTextIndent"/>
        <w:ind w:left="0" w:firstLine="360"/>
      </w:pPr>
      <w:r>
        <w:t>…</w:t>
      </w:r>
    </w:p>
    <w:p w:rsidR="00836541" w:rsidRDefault="00836541" w:rsidP="00836541">
      <w:pPr>
        <w:pStyle w:val="BodyTextIndent"/>
        <w:ind w:left="0" w:firstLine="360"/>
        <w:rPr>
          <w:iCs/>
        </w:rPr>
      </w:pPr>
      <w:r w:rsidRPr="00836541">
        <w:rPr>
          <w:position w:val="-14"/>
        </w:rPr>
        <w:object w:dxaOrig="940" w:dyaOrig="380">
          <v:shape id="_x0000_i1041" type="#_x0000_t75" style="width:46.65pt;height:18.65pt" o:ole="">
            <v:imagedata r:id="rId17" o:title=""/>
          </v:shape>
          <o:OLEObject Type="Embed" ProgID="Equation.3" ShapeID="_x0000_i1041" DrawAspect="Content" ObjectID="_1569133229" r:id="rId18"/>
        </w:object>
      </w:r>
    </w:p>
    <w:p w:rsidR="00836541" w:rsidRDefault="00836541" w:rsidP="004D1A04">
      <w:pPr>
        <w:pStyle w:val="BodyTextIndent"/>
        <w:ind w:left="0"/>
        <w:rPr>
          <w:iCs/>
        </w:rPr>
      </w:pPr>
    </w:p>
    <w:p w:rsidR="00836541" w:rsidRPr="00FA7F2E" w:rsidRDefault="00836541" w:rsidP="004D1A04">
      <w:pPr>
        <w:pStyle w:val="BodyTextIndent"/>
        <w:ind w:left="0"/>
        <w:rPr>
          <w:iCs/>
          <w:u w:val="single"/>
        </w:rPr>
      </w:pPr>
      <w:r>
        <w:rPr>
          <w:iCs/>
        </w:rPr>
        <w:tab/>
      </w:r>
      <w:r w:rsidRPr="00FA7F2E">
        <w:rPr>
          <w:iCs/>
          <w:u w:val="single"/>
        </w:rPr>
        <w:t>School effects on teacher efficacy</w:t>
      </w:r>
    </w:p>
    <w:p w:rsidR="00836541" w:rsidRDefault="00836541" w:rsidP="004D1A04">
      <w:pPr>
        <w:pStyle w:val="BodyTextIndent"/>
        <w:ind w:left="0"/>
        <w:rPr>
          <w:iCs/>
        </w:rPr>
      </w:pPr>
    </w:p>
    <w:p w:rsidR="00836541" w:rsidRDefault="00836541" w:rsidP="004D1A04">
      <w:pPr>
        <w:pStyle w:val="BodyTextIndent"/>
        <w:ind w:left="0"/>
        <w:rPr>
          <w:iCs/>
        </w:rPr>
      </w:pPr>
      <w:r>
        <w:rPr>
          <w:iCs/>
        </w:rPr>
        <w:tab/>
      </w:r>
      <w:r w:rsidR="001E3F55">
        <w:rPr>
          <w:position w:val="-14"/>
        </w:rPr>
        <w:object w:dxaOrig="2920" w:dyaOrig="380">
          <v:shape id="_x0000_i1113" type="#_x0000_t75" style="width:145.35pt;height:20pt" o:ole="">
            <v:imagedata r:id="rId19" o:title=""/>
          </v:shape>
          <o:OLEObject Type="Embed" ProgID="Equation.3" ShapeID="_x0000_i1113" DrawAspect="Content" ObjectID="_1569133230" r:id="rId20"/>
        </w:object>
      </w:r>
    </w:p>
    <w:p w:rsidR="004D1A04" w:rsidRDefault="00836541" w:rsidP="004D1A04">
      <w:pPr>
        <w:pStyle w:val="BodyTextIndent"/>
        <w:ind w:left="0"/>
      </w:pPr>
      <w:r>
        <w:rPr>
          <w:iCs/>
        </w:rPr>
        <w:tab/>
      </w:r>
      <w:r w:rsidR="00257382" w:rsidRPr="00836541">
        <w:rPr>
          <w:position w:val="-14"/>
        </w:rPr>
        <w:object w:dxaOrig="7080" w:dyaOrig="380">
          <v:shape id="_x0000_i1091" type="#_x0000_t75" style="width:353.35pt;height:20pt" o:ole="">
            <v:imagedata r:id="rId21" o:title=""/>
          </v:shape>
          <o:OLEObject Type="Embed" ProgID="Equation.3" ShapeID="_x0000_i1091" DrawAspect="Content" ObjectID="_1569133231" r:id="rId22"/>
        </w:object>
      </w:r>
    </w:p>
    <w:p w:rsidR="003669B3" w:rsidRDefault="003669B3" w:rsidP="003669B3">
      <w:pPr>
        <w:pStyle w:val="BodyTextIndent"/>
        <w:ind w:left="720" w:firstLine="720"/>
      </w:pPr>
      <w:r w:rsidRPr="004F5753">
        <w:rPr>
          <w:position w:val="-14"/>
        </w:rPr>
        <w:object w:dxaOrig="5160" w:dyaOrig="380">
          <v:shape id="_x0000_i1090" type="#_x0000_t75" style="width:258.65pt;height:18.65pt" o:ole="">
            <v:imagedata r:id="rId23" o:title=""/>
          </v:shape>
          <o:OLEObject Type="Embed" ProgID="Equation.3" ShapeID="_x0000_i1090" DrawAspect="Content" ObjectID="_1569133232" r:id="rId24"/>
        </w:object>
      </w:r>
    </w:p>
    <w:p w:rsidR="003669B3" w:rsidRDefault="003669B3" w:rsidP="003669B3">
      <w:pPr>
        <w:pStyle w:val="BodyTextIndent"/>
        <w:ind w:left="720" w:firstLine="720"/>
      </w:pPr>
    </w:p>
    <w:p w:rsidR="003669B3" w:rsidRDefault="003669B3" w:rsidP="003669B3">
      <w:pPr>
        <w:pStyle w:val="BodyTextIndent"/>
        <w:ind w:left="0"/>
      </w:pPr>
      <w:r>
        <w:rPr>
          <w:iCs/>
        </w:rPr>
        <w:tab/>
      </w:r>
      <w:r w:rsidRPr="00836541">
        <w:rPr>
          <w:position w:val="-14"/>
        </w:rPr>
        <w:object w:dxaOrig="7080" w:dyaOrig="380">
          <v:shape id="_x0000_i1084" type="#_x0000_t75" style="width:353.35pt;height:20pt" o:ole="">
            <v:imagedata r:id="rId25" o:title=""/>
          </v:shape>
          <o:OLEObject Type="Embed" ProgID="Equation.3" ShapeID="_x0000_i1084" DrawAspect="Content" ObjectID="_1569133233" r:id="rId26"/>
        </w:object>
      </w:r>
    </w:p>
    <w:p w:rsidR="003669B3" w:rsidRDefault="003669B3" w:rsidP="003669B3">
      <w:pPr>
        <w:pStyle w:val="BodyTextIndent"/>
        <w:ind w:left="720" w:firstLine="720"/>
      </w:pPr>
      <w:r w:rsidRPr="004F5753">
        <w:rPr>
          <w:position w:val="-14"/>
        </w:rPr>
        <w:object w:dxaOrig="7020" w:dyaOrig="380">
          <v:shape id="_x0000_i1081" type="#_x0000_t75" style="width:350.65pt;height:18.65pt" o:ole="">
            <v:imagedata r:id="rId27" o:title=""/>
          </v:shape>
          <o:OLEObject Type="Embed" ProgID="Equation.3" ShapeID="_x0000_i1081" DrawAspect="Content" ObjectID="_1569133234" r:id="rId28"/>
        </w:object>
      </w:r>
    </w:p>
    <w:p w:rsidR="00257382" w:rsidRDefault="00257382" w:rsidP="00257382">
      <w:pPr>
        <w:pStyle w:val="BodyTextIndent"/>
        <w:ind w:left="0"/>
      </w:pPr>
    </w:p>
    <w:p w:rsidR="00257382" w:rsidRDefault="00257382" w:rsidP="00257382">
      <w:pPr>
        <w:pStyle w:val="BodyTextIndent"/>
        <w:ind w:left="0"/>
      </w:pPr>
    </w:p>
    <w:p w:rsidR="00257382" w:rsidRDefault="00257382" w:rsidP="001E3F55">
      <w:pPr>
        <w:pStyle w:val="BodyTextIndent"/>
        <w:ind w:left="720"/>
      </w:pPr>
      <w:r w:rsidRPr="00FA7F2E">
        <w:rPr>
          <w:u w:val="single"/>
        </w:rPr>
        <w:t>Evaluating program effects on writing</w:t>
      </w:r>
      <w:r w:rsidR="001E3F55">
        <w:t>, based on an intervention to improve writing skill and to enhance self-perception of academic competence</w:t>
      </w:r>
    </w:p>
    <w:p w:rsidR="00257382" w:rsidRDefault="00257382" w:rsidP="00257382">
      <w:pPr>
        <w:pStyle w:val="BodyTextIndent"/>
        <w:ind w:left="0"/>
      </w:pPr>
    </w:p>
    <w:p w:rsidR="00257382" w:rsidRDefault="00257382" w:rsidP="00257382">
      <w:pPr>
        <w:pStyle w:val="BodyTextIndent"/>
        <w:ind w:left="0"/>
        <w:rPr>
          <w:iCs/>
        </w:rPr>
      </w:pPr>
      <w:r>
        <w:tab/>
      </w:r>
      <w:r w:rsidR="009C1EF5">
        <w:rPr>
          <w:position w:val="-14"/>
        </w:rPr>
        <w:object w:dxaOrig="5200" w:dyaOrig="420">
          <v:shape id="_x0000_i1123" type="#_x0000_t75" style="width:260pt;height:21.35pt" o:ole="">
            <v:imagedata r:id="rId29" o:title=""/>
          </v:shape>
          <o:OLEObject Type="Embed" ProgID="Equation.3" ShapeID="_x0000_i1123" DrawAspect="Content" ObjectID="_1569133235" r:id="rId30"/>
        </w:object>
      </w:r>
    </w:p>
    <w:p w:rsidR="00257382" w:rsidRDefault="001E3F55" w:rsidP="004D1A04">
      <w:pPr>
        <w:pStyle w:val="BodyTextIndent"/>
        <w:ind w:left="0"/>
        <w:rPr>
          <w:iCs/>
        </w:rPr>
      </w:pPr>
      <w:r>
        <w:rPr>
          <w:iCs/>
        </w:rPr>
        <w:tab/>
      </w:r>
      <w:r w:rsidRPr="00836541">
        <w:rPr>
          <w:position w:val="-14"/>
        </w:rPr>
        <w:object w:dxaOrig="3200" w:dyaOrig="380">
          <v:shape id="_x0000_i1104" type="#_x0000_t75" style="width:160pt;height:20pt" o:ole="">
            <v:imagedata r:id="rId31" o:title=""/>
          </v:shape>
          <o:OLEObject Type="Embed" ProgID="Equation.3" ShapeID="_x0000_i1104" DrawAspect="Content" ObjectID="_1569133236" r:id="rId32"/>
        </w:object>
      </w:r>
    </w:p>
    <w:p w:rsidR="00257382" w:rsidRDefault="001E3F55" w:rsidP="001E3F55">
      <w:pPr>
        <w:pStyle w:val="BodyTextIndent"/>
        <w:ind w:left="0" w:firstLine="720"/>
        <w:rPr>
          <w:iCs/>
        </w:rPr>
      </w:pPr>
      <w:r>
        <w:rPr>
          <w:position w:val="-14"/>
        </w:rPr>
        <w:object w:dxaOrig="859" w:dyaOrig="380">
          <v:shape id="_x0000_i1105" type="#_x0000_t75" style="width:42.65pt;height:18.65pt" o:ole="">
            <v:imagedata r:id="rId13" o:title=""/>
          </v:shape>
          <o:OLEObject Type="Embed" ProgID="Equation.3" ShapeID="_x0000_i1105" DrawAspect="Content" ObjectID="_1569133237" r:id="rId33"/>
        </w:object>
      </w:r>
    </w:p>
    <w:p w:rsidR="00257382" w:rsidRDefault="00257382" w:rsidP="004D1A04">
      <w:pPr>
        <w:pStyle w:val="BodyTextIndent"/>
        <w:ind w:left="0"/>
        <w:rPr>
          <w:iCs/>
        </w:rPr>
      </w:pPr>
    </w:p>
    <w:p w:rsidR="001E3F55" w:rsidRPr="004D1A04" w:rsidRDefault="001E3F55" w:rsidP="004D1A04">
      <w:pPr>
        <w:pStyle w:val="BodyTextIndent"/>
        <w:ind w:left="0"/>
        <w:rPr>
          <w:iCs/>
        </w:rPr>
      </w:pPr>
    </w:p>
    <w:p w:rsidR="004D1A04" w:rsidRPr="00FA7F2E" w:rsidRDefault="004D1A04" w:rsidP="004D1A04">
      <w:pPr>
        <w:rPr>
          <w:b/>
          <w:iCs/>
        </w:rPr>
      </w:pPr>
      <w:r w:rsidRPr="00FA7F2E">
        <w:rPr>
          <w:b/>
          <w:iCs/>
        </w:rPr>
        <w:t>Case 2 of Organizational Effects</w:t>
      </w:r>
    </w:p>
    <w:p w:rsidR="004D1A04" w:rsidRDefault="004D1A04" w:rsidP="004D1A04">
      <w:pPr>
        <w:rPr>
          <w:iCs/>
        </w:rPr>
      </w:pPr>
    </w:p>
    <w:p w:rsidR="004D1A04" w:rsidRPr="00FA7F2E" w:rsidRDefault="004D1A04" w:rsidP="00FA7F2E">
      <w:pPr>
        <w:pStyle w:val="ListParagraph"/>
        <w:numPr>
          <w:ilvl w:val="0"/>
          <w:numId w:val="2"/>
        </w:numPr>
        <w:rPr>
          <w:iCs/>
        </w:rPr>
      </w:pPr>
      <w:r>
        <w:rPr>
          <w:iCs/>
        </w:rPr>
        <w:t xml:space="preserve">Organizational effects can modify the mean level of outcomes and how effects </w:t>
      </w:r>
      <w:proofErr w:type="gramStart"/>
      <w:r>
        <w:rPr>
          <w:iCs/>
        </w:rPr>
        <w:t>are distributed</w:t>
      </w:r>
      <w:proofErr w:type="gramEnd"/>
      <w:r>
        <w:rPr>
          <w:iCs/>
        </w:rPr>
        <w:t xml:space="preserve"> among individuals.</w:t>
      </w:r>
    </w:p>
    <w:p w:rsidR="004D1A04" w:rsidRDefault="004D1A04" w:rsidP="004D1A04"/>
    <w:p w:rsidR="001E3F55" w:rsidRDefault="009C1EF5" w:rsidP="00FA7F2E">
      <w:pPr>
        <w:ind w:firstLine="360"/>
      </w:pPr>
      <w:r>
        <w:t>Complications</w:t>
      </w:r>
    </w:p>
    <w:p w:rsidR="009C1EF5" w:rsidRDefault="009C1EF5" w:rsidP="009C1EF5">
      <w:pPr>
        <w:pStyle w:val="ListParagraph"/>
        <w:numPr>
          <w:ilvl w:val="0"/>
          <w:numId w:val="2"/>
        </w:numPr>
      </w:pPr>
      <w:r>
        <w:t>Regression coefficients have greater sampling variability</w:t>
      </w:r>
    </w:p>
    <w:p w:rsidR="009C1EF5" w:rsidRDefault="009C1EF5" w:rsidP="00DE25A1">
      <w:pPr>
        <w:pStyle w:val="ListParagraph"/>
        <w:numPr>
          <w:ilvl w:val="0"/>
          <w:numId w:val="2"/>
        </w:numPr>
      </w:pPr>
      <w:r>
        <w:t>Small samples produce unstable estimates</w:t>
      </w:r>
    </w:p>
    <w:p w:rsidR="009C1EF5" w:rsidRDefault="009C1EF5" w:rsidP="00DE25A1">
      <w:pPr>
        <w:pStyle w:val="ListParagraph"/>
        <w:numPr>
          <w:ilvl w:val="0"/>
          <w:numId w:val="2"/>
        </w:numPr>
      </w:pPr>
      <w:r>
        <w:t>When</w:t>
      </w:r>
      <w:r w:rsidR="000B3DB4">
        <w:t xml:space="preserve"> individuals within an organization </w:t>
      </w:r>
      <w:r w:rsidR="003D0E78">
        <w:t>are more alike (homogenous) relative to a random sample, and this reduced variability influence estimation of the association with the outcome.</w:t>
      </w:r>
    </w:p>
    <w:p w:rsidR="001E3F55" w:rsidRDefault="001E3F55" w:rsidP="004D1A04"/>
    <w:p w:rsidR="001E3F55" w:rsidRDefault="00FA7F2E" w:rsidP="00FA7F2E">
      <w:pPr>
        <w:ind w:left="360"/>
      </w:pPr>
      <w:r w:rsidRPr="00FA7F2E">
        <w:rPr>
          <w:u w:val="single"/>
        </w:rPr>
        <w:t>Social distribution of achievement</w:t>
      </w:r>
      <w:r>
        <w:t xml:space="preserve"> in public and catholic high schools</w:t>
      </w:r>
      <w:r w:rsidR="0092536F">
        <w:t>.</w:t>
      </w:r>
    </w:p>
    <w:p w:rsidR="0092536F" w:rsidRPr="0092536F" w:rsidRDefault="0092536F" w:rsidP="00FA7F2E">
      <w:pPr>
        <w:ind w:left="360"/>
      </w:pPr>
      <w:r>
        <w:t>A random-coefficients regression model.</w:t>
      </w:r>
    </w:p>
    <w:p w:rsidR="00FA7F2E" w:rsidRDefault="00FA7F2E" w:rsidP="004D1A04"/>
    <w:p w:rsidR="00FA7F2E" w:rsidRDefault="0092536F" w:rsidP="0092536F">
      <w:pPr>
        <w:ind w:left="720"/>
      </w:pPr>
      <w:r>
        <w:rPr>
          <w:position w:val="-14"/>
        </w:rPr>
        <w:object w:dxaOrig="7800" w:dyaOrig="380">
          <v:shape id="_x0000_i1141" type="#_x0000_t75" style="width:390.65pt;height:18.65pt" o:ole="">
            <v:imagedata r:id="rId34" o:title=""/>
          </v:shape>
          <o:OLEObject Type="Embed" ProgID="Equation.3" ShapeID="_x0000_i1141" DrawAspect="Content" ObjectID="_1569133238" r:id="rId35"/>
        </w:object>
      </w:r>
    </w:p>
    <w:p w:rsidR="0092536F" w:rsidRDefault="0092536F" w:rsidP="0092536F">
      <w:pPr>
        <w:pStyle w:val="BodyTextIndent"/>
        <w:ind w:left="720" w:firstLine="360"/>
      </w:pPr>
      <w:r w:rsidRPr="00836541">
        <w:rPr>
          <w:position w:val="-14"/>
        </w:rPr>
        <w:object w:dxaOrig="1420" w:dyaOrig="380">
          <v:shape id="_x0000_i1251" type="#_x0000_t75" style="width:70.65pt;height:20pt" o:ole="">
            <v:imagedata r:id="rId36" o:title=""/>
          </v:shape>
          <o:OLEObject Type="Embed" ProgID="Equation.3" ShapeID="_x0000_i1251" DrawAspect="Content" ObjectID="_1569133239" r:id="rId37"/>
        </w:object>
      </w:r>
      <w:r>
        <w:t xml:space="preserve"> </w:t>
      </w:r>
    </w:p>
    <w:p w:rsidR="0092536F" w:rsidRDefault="0092536F" w:rsidP="0092536F">
      <w:pPr>
        <w:pStyle w:val="BodyTextIndent"/>
        <w:ind w:left="720" w:firstLine="360"/>
      </w:pPr>
      <w:r>
        <w:rPr>
          <w:position w:val="-14"/>
        </w:rPr>
        <w:object w:dxaOrig="1359" w:dyaOrig="380">
          <v:shape id="_x0000_i1252" type="#_x0000_t75" style="width:68pt;height:18.65pt" o:ole="">
            <v:imagedata r:id="rId38" o:title=""/>
          </v:shape>
          <o:OLEObject Type="Embed" ProgID="Equation.3" ShapeID="_x0000_i1252" DrawAspect="Content" ObjectID="_1569133240" r:id="rId39"/>
        </w:object>
      </w:r>
    </w:p>
    <w:p w:rsidR="0092536F" w:rsidRDefault="0092536F" w:rsidP="0092536F">
      <w:pPr>
        <w:pStyle w:val="BodyTextIndent"/>
        <w:ind w:left="720" w:firstLine="360"/>
      </w:pPr>
      <w:r>
        <w:rPr>
          <w:position w:val="-14"/>
        </w:rPr>
        <w:object w:dxaOrig="1440" w:dyaOrig="380">
          <v:shape id="_x0000_i1253" type="#_x0000_t75" style="width:1in;height:18.65pt" o:ole="">
            <v:imagedata r:id="rId40" o:title=""/>
          </v:shape>
          <o:OLEObject Type="Embed" ProgID="Equation.3" ShapeID="_x0000_i1253" DrawAspect="Content" ObjectID="_1569133241" r:id="rId41"/>
        </w:object>
      </w:r>
    </w:p>
    <w:p w:rsidR="0092536F" w:rsidRDefault="0092536F" w:rsidP="0092536F">
      <w:pPr>
        <w:pStyle w:val="BodyTextIndent"/>
        <w:ind w:left="720" w:firstLine="360"/>
        <w:rPr>
          <w:iCs/>
        </w:rPr>
      </w:pPr>
      <w:r w:rsidRPr="00836541">
        <w:rPr>
          <w:position w:val="-14"/>
        </w:rPr>
        <w:object w:dxaOrig="1420" w:dyaOrig="380">
          <v:shape id="_x0000_i1254" type="#_x0000_t75" style="width:70.65pt;height:18.65pt" o:ole="">
            <v:imagedata r:id="rId42" o:title=""/>
          </v:shape>
          <o:OLEObject Type="Embed" ProgID="Equation.3" ShapeID="_x0000_i1254" DrawAspect="Content" ObjectID="_1569133242" r:id="rId43"/>
        </w:object>
      </w:r>
    </w:p>
    <w:p w:rsidR="00F77588" w:rsidRDefault="00F77588">
      <w:r>
        <w:br w:type="page"/>
      </w:r>
    </w:p>
    <w:p w:rsidR="00FA7F2E" w:rsidRDefault="00FA7F2E" w:rsidP="004D1A04"/>
    <w:p w:rsidR="00574C6A" w:rsidRPr="00574C6A" w:rsidRDefault="00574C6A" w:rsidP="00574C6A">
      <w:pPr>
        <w:tabs>
          <w:tab w:val="left" w:pos="720"/>
          <w:tab w:val="left" w:pos="17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793630</wp:posOffset>
                </wp:positionH>
                <wp:positionV relativeFrom="paragraph">
                  <wp:posOffset>107063</wp:posOffset>
                </wp:positionV>
                <wp:extent cx="3821502" cy="1233578"/>
                <wp:effectExtent l="0" t="0" r="26670" b="24130"/>
                <wp:wrapNone/>
                <wp:docPr id="1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502" cy="1233578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D4A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" o:spid="_x0000_s1026" type="#_x0000_t185" style="position:absolute;margin-left:62.5pt;margin-top:8.45pt;width:300.9pt;height:9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" strokecolor="black [3213]" strokeweight=".5pt">
                <v:stroke joinstyle="miter"/>
              </v:shape>
            </w:pict>
          </mc:Fallback>
        </mc:AlternateContent>
      </w:r>
      <w:r>
        <w:tab/>
      </w:r>
      <w:r>
        <w:rPr>
          <w:b/>
        </w:rPr>
        <w:t>T</w:t>
      </w:r>
      <w:r w:rsidRPr="00574C6A">
        <w:t xml:space="preserve"> =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152"/>
      </w:tblGrid>
      <w:tr w:rsidR="00574C6A" w:rsidTr="00574C6A">
        <w:trPr>
          <w:trHeight w:val="432"/>
        </w:trPr>
        <w:tc>
          <w:tcPr>
            <w:tcW w:w="1505" w:type="dxa"/>
            <w:vAlign w:val="center"/>
          </w:tcPr>
          <w:p w:rsidR="00574C6A" w:rsidRPr="00574C6A" w:rsidRDefault="00574C6A" w:rsidP="00574C6A">
            <w:proofErr w:type="spellStart"/>
            <w:r>
              <w:t>Var</w:t>
            </w:r>
            <w:proofErr w:type="spellEnd"/>
            <w:r>
              <w:t>(</w:t>
            </w:r>
            <w:r>
              <w:rPr>
                <w:i/>
              </w:rPr>
              <w:t>u</w:t>
            </w:r>
            <w:r w:rsidRPr="00574C6A">
              <w:rPr>
                <w:position w:val="-6"/>
                <w:vertAlign w:val="subscript"/>
              </w:rPr>
              <w:t>0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)</w:t>
            </w:r>
          </w:p>
        </w:tc>
        <w:tc>
          <w:tcPr>
            <w:tcW w:w="1505" w:type="dxa"/>
            <w:vAlign w:val="center"/>
          </w:tcPr>
          <w:p w:rsidR="00574C6A" w:rsidRDefault="00574C6A" w:rsidP="00574C6A"/>
        </w:tc>
        <w:tc>
          <w:tcPr>
            <w:tcW w:w="1505" w:type="dxa"/>
            <w:vAlign w:val="center"/>
          </w:tcPr>
          <w:p w:rsidR="00574C6A" w:rsidRDefault="00574C6A" w:rsidP="00574C6A"/>
        </w:tc>
        <w:tc>
          <w:tcPr>
            <w:tcW w:w="1152" w:type="dxa"/>
            <w:vAlign w:val="center"/>
          </w:tcPr>
          <w:p w:rsidR="00574C6A" w:rsidRDefault="00574C6A" w:rsidP="00574C6A"/>
        </w:tc>
      </w:tr>
      <w:tr w:rsidR="00574C6A" w:rsidTr="00574C6A">
        <w:trPr>
          <w:trHeight w:val="432"/>
        </w:trPr>
        <w:tc>
          <w:tcPr>
            <w:tcW w:w="1505" w:type="dxa"/>
            <w:vAlign w:val="center"/>
          </w:tcPr>
          <w:p w:rsidR="00574C6A" w:rsidRDefault="00574C6A" w:rsidP="00574C6A">
            <w:proofErr w:type="spellStart"/>
            <w:r>
              <w:t>Cov</w:t>
            </w:r>
            <w:proofErr w:type="spellEnd"/>
            <w:r>
              <w:t>(</w:t>
            </w:r>
            <w:r>
              <w:rPr>
                <w:i/>
              </w:rPr>
              <w:t>u</w:t>
            </w:r>
            <w:r>
              <w:rPr>
                <w:position w:val="-6"/>
                <w:vertAlign w:val="subscript"/>
              </w:rPr>
              <w:t>1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,</w:t>
            </w:r>
            <w:r>
              <w:rPr>
                <w:i/>
              </w:rPr>
              <w:t xml:space="preserve"> u</w:t>
            </w:r>
            <w:r w:rsidRPr="00574C6A">
              <w:rPr>
                <w:position w:val="-6"/>
                <w:vertAlign w:val="subscript"/>
              </w:rPr>
              <w:t>0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)</w:t>
            </w:r>
          </w:p>
        </w:tc>
        <w:tc>
          <w:tcPr>
            <w:tcW w:w="1505" w:type="dxa"/>
            <w:vAlign w:val="center"/>
          </w:tcPr>
          <w:p w:rsidR="00574C6A" w:rsidRDefault="00574C6A" w:rsidP="00574C6A">
            <w:proofErr w:type="spellStart"/>
            <w:r>
              <w:t>Var</w:t>
            </w:r>
            <w:proofErr w:type="spellEnd"/>
            <w:r>
              <w:t>(</w:t>
            </w:r>
            <w:r>
              <w:rPr>
                <w:i/>
              </w:rPr>
              <w:t>u</w:t>
            </w:r>
            <w:r>
              <w:rPr>
                <w:position w:val="-6"/>
                <w:vertAlign w:val="subscript"/>
              </w:rPr>
              <w:t>1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)</w:t>
            </w:r>
          </w:p>
        </w:tc>
        <w:tc>
          <w:tcPr>
            <w:tcW w:w="1505" w:type="dxa"/>
            <w:vAlign w:val="center"/>
          </w:tcPr>
          <w:p w:rsidR="00574C6A" w:rsidRDefault="00574C6A" w:rsidP="00574C6A"/>
        </w:tc>
        <w:tc>
          <w:tcPr>
            <w:tcW w:w="1152" w:type="dxa"/>
            <w:vAlign w:val="center"/>
          </w:tcPr>
          <w:p w:rsidR="00574C6A" w:rsidRDefault="00574C6A" w:rsidP="00574C6A"/>
        </w:tc>
      </w:tr>
      <w:tr w:rsidR="00574C6A" w:rsidTr="00574C6A">
        <w:trPr>
          <w:trHeight w:val="432"/>
        </w:trPr>
        <w:tc>
          <w:tcPr>
            <w:tcW w:w="1505" w:type="dxa"/>
            <w:vAlign w:val="center"/>
          </w:tcPr>
          <w:p w:rsidR="00574C6A" w:rsidRDefault="00574C6A" w:rsidP="00574C6A">
            <w:proofErr w:type="spellStart"/>
            <w:r>
              <w:t>Cov</w:t>
            </w:r>
            <w:proofErr w:type="spellEnd"/>
            <w:r>
              <w:t>(</w:t>
            </w:r>
            <w:r>
              <w:rPr>
                <w:i/>
              </w:rPr>
              <w:t>u</w:t>
            </w:r>
            <w:r>
              <w:rPr>
                <w:position w:val="-6"/>
                <w:vertAlign w:val="subscript"/>
              </w:rPr>
              <w:t>2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,</w:t>
            </w:r>
            <w:r>
              <w:rPr>
                <w:i/>
              </w:rPr>
              <w:t xml:space="preserve"> u</w:t>
            </w:r>
            <w:r w:rsidRPr="00574C6A">
              <w:rPr>
                <w:position w:val="-6"/>
                <w:vertAlign w:val="subscript"/>
              </w:rPr>
              <w:t>0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)</w:t>
            </w:r>
          </w:p>
        </w:tc>
        <w:tc>
          <w:tcPr>
            <w:tcW w:w="1505" w:type="dxa"/>
            <w:vAlign w:val="center"/>
          </w:tcPr>
          <w:p w:rsidR="00574C6A" w:rsidRDefault="00574C6A" w:rsidP="00574C6A">
            <w:proofErr w:type="spellStart"/>
            <w:r>
              <w:t>Cov</w:t>
            </w:r>
            <w:proofErr w:type="spellEnd"/>
            <w:r>
              <w:t>(</w:t>
            </w:r>
            <w:r>
              <w:rPr>
                <w:i/>
              </w:rPr>
              <w:t>u</w:t>
            </w:r>
            <w:r>
              <w:rPr>
                <w:position w:val="-6"/>
                <w:vertAlign w:val="subscript"/>
              </w:rPr>
              <w:t>2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,</w:t>
            </w:r>
            <w:r>
              <w:rPr>
                <w:i/>
              </w:rPr>
              <w:t xml:space="preserve"> u</w:t>
            </w:r>
            <w:r>
              <w:rPr>
                <w:position w:val="-6"/>
                <w:vertAlign w:val="subscript"/>
              </w:rPr>
              <w:t>1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)</w:t>
            </w:r>
          </w:p>
        </w:tc>
        <w:tc>
          <w:tcPr>
            <w:tcW w:w="1505" w:type="dxa"/>
            <w:vAlign w:val="center"/>
          </w:tcPr>
          <w:p w:rsidR="00574C6A" w:rsidRDefault="00574C6A" w:rsidP="00574C6A">
            <w:proofErr w:type="spellStart"/>
            <w:r>
              <w:t>Var</w:t>
            </w:r>
            <w:proofErr w:type="spellEnd"/>
            <w:r>
              <w:t>(</w:t>
            </w:r>
            <w:r>
              <w:rPr>
                <w:i/>
              </w:rPr>
              <w:t>u</w:t>
            </w:r>
            <w:r>
              <w:rPr>
                <w:position w:val="-6"/>
                <w:vertAlign w:val="subscript"/>
              </w:rPr>
              <w:t>2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)</w:t>
            </w:r>
          </w:p>
        </w:tc>
        <w:tc>
          <w:tcPr>
            <w:tcW w:w="1152" w:type="dxa"/>
            <w:vAlign w:val="center"/>
          </w:tcPr>
          <w:p w:rsidR="00574C6A" w:rsidRDefault="00574C6A" w:rsidP="00574C6A"/>
        </w:tc>
      </w:tr>
      <w:tr w:rsidR="00574C6A" w:rsidTr="00574C6A">
        <w:trPr>
          <w:trHeight w:val="432"/>
        </w:trPr>
        <w:tc>
          <w:tcPr>
            <w:tcW w:w="1505" w:type="dxa"/>
            <w:vAlign w:val="center"/>
          </w:tcPr>
          <w:p w:rsidR="00574C6A" w:rsidRDefault="00574C6A" w:rsidP="00574C6A">
            <w:proofErr w:type="spellStart"/>
            <w:r>
              <w:t>Cov</w:t>
            </w:r>
            <w:proofErr w:type="spellEnd"/>
            <w:r>
              <w:t>(</w:t>
            </w:r>
            <w:r>
              <w:rPr>
                <w:i/>
              </w:rPr>
              <w:t>u</w:t>
            </w:r>
            <w:r>
              <w:rPr>
                <w:position w:val="-6"/>
                <w:vertAlign w:val="subscript"/>
              </w:rPr>
              <w:t>3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,</w:t>
            </w:r>
            <w:r>
              <w:rPr>
                <w:i/>
              </w:rPr>
              <w:t xml:space="preserve"> u</w:t>
            </w:r>
            <w:r w:rsidRPr="00574C6A">
              <w:rPr>
                <w:position w:val="-6"/>
                <w:vertAlign w:val="subscript"/>
              </w:rPr>
              <w:t>0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)</w:t>
            </w:r>
          </w:p>
        </w:tc>
        <w:tc>
          <w:tcPr>
            <w:tcW w:w="1505" w:type="dxa"/>
            <w:vAlign w:val="center"/>
          </w:tcPr>
          <w:p w:rsidR="00574C6A" w:rsidRDefault="00574C6A" w:rsidP="00574C6A">
            <w:proofErr w:type="spellStart"/>
            <w:r>
              <w:t>Cov</w:t>
            </w:r>
            <w:proofErr w:type="spellEnd"/>
            <w:r>
              <w:t>(</w:t>
            </w:r>
            <w:r>
              <w:rPr>
                <w:i/>
              </w:rPr>
              <w:t>u</w:t>
            </w:r>
            <w:r>
              <w:rPr>
                <w:position w:val="-6"/>
                <w:vertAlign w:val="subscript"/>
              </w:rPr>
              <w:t>3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,</w:t>
            </w:r>
            <w:r>
              <w:rPr>
                <w:i/>
              </w:rPr>
              <w:t xml:space="preserve"> u</w:t>
            </w:r>
            <w:r>
              <w:rPr>
                <w:position w:val="-6"/>
                <w:vertAlign w:val="subscript"/>
              </w:rPr>
              <w:t>1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)</w:t>
            </w:r>
          </w:p>
        </w:tc>
        <w:tc>
          <w:tcPr>
            <w:tcW w:w="1505" w:type="dxa"/>
            <w:vAlign w:val="center"/>
          </w:tcPr>
          <w:p w:rsidR="00574C6A" w:rsidRDefault="00574C6A" w:rsidP="00574C6A">
            <w:proofErr w:type="spellStart"/>
            <w:r>
              <w:t>Cov</w:t>
            </w:r>
            <w:proofErr w:type="spellEnd"/>
            <w:r>
              <w:t>(</w:t>
            </w:r>
            <w:r>
              <w:rPr>
                <w:i/>
              </w:rPr>
              <w:t>u</w:t>
            </w:r>
            <w:r>
              <w:rPr>
                <w:position w:val="-6"/>
                <w:vertAlign w:val="subscript"/>
              </w:rPr>
              <w:t>3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,</w:t>
            </w:r>
            <w:r>
              <w:rPr>
                <w:i/>
              </w:rPr>
              <w:t xml:space="preserve"> u</w:t>
            </w:r>
            <w:r>
              <w:rPr>
                <w:position w:val="-6"/>
                <w:vertAlign w:val="subscript"/>
              </w:rPr>
              <w:t>2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)</w:t>
            </w:r>
          </w:p>
        </w:tc>
        <w:tc>
          <w:tcPr>
            <w:tcW w:w="1152" w:type="dxa"/>
            <w:vAlign w:val="center"/>
          </w:tcPr>
          <w:p w:rsidR="00574C6A" w:rsidRDefault="00574C6A" w:rsidP="00574C6A">
            <w:proofErr w:type="spellStart"/>
            <w:r>
              <w:t>Var</w:t>
            </w:r>
            <w:proofErr w:type="spellEnd"/>
            <w:r>
              <w:t>(</w:t>
            </w:r>
            <w:r>
              <w:rPr>
                <w:i/>
              </w:rPr>
              <w:t>u</w:t>
            </w:r>
            <w:r>
              <w:rPr>
                <w:position w:val="-6"/>
                <w:vertAlign w:val="subscript"/>
              </w:rPr>
              <w:t>3</w:t>
            </w:r>
            <w:r w:rsidRPr="00574C6A">
              <w:rPr>
                <w:i/>
                <w:position w:val="-6"/>
                <w:vertAlign w:val="subscript"/>
              </w:rPr>
              <w:t>j</w:t>
            </w:r>
            <w:r>
              <w:t>)</w:t>
            </w:r>
          </w:p>
        </w:tc>
      </w:tr>
    </w:tbl>
    <w:p w:rsidR="0092536F" w:rsidRDefault="0092536F" w:rsidP="004D1A04"/>
    <w:p w:rsidR="0092536F" w:rsidRDefault="0092536F" w:rsidP="004D1A04"/>
    <w:p w:rsidR="0092536F" w:rsidRDefault="00574C6A" w:rsidP="00F77588">
      <w:pPr>
        <w:ind w:firstLine="360"/>
      </w:pPr>
      <w:proofErr w:type="gramStart"/>
      <w:r>
        <w:t>χ</w:t>
      </w:r>
      <w:r w:rsidRPr="00574C6A">
        <w:rPr>
          <w:vertAlign w:val="superscript"/>
        </w:rPr>
        <w:t>2</w:t>
      </w:r>
      <w:proofErr w:type="gramEnd"/>
      <w:r>
        <w:t xml:space="preserve"> tests of the random effects variance components are </w:t>
      </w:r>
      <w:r w:rsidR="00965F13">
        <w:t>approximate.</w:t>
      </w:r>
    </w:p>
    <w:p w:rsidR="00965F13" w:rsidRDefault="00965F13" w:rsidP="00965F13">
      <w:pPr>
        <w:pStyle w:val="ListParagraph"/>
        <w:numPr>
          <w:ilvl w:val="0"/>
          <w:numId w:val="3"/>
        </w:numPr>
      </w:pPr>
      <w:r>
        <w:t>Simple univariate tests that do not take into account the other random effects.</w:t>
      </w:r>
    </w:p>
    <w:p w:rsidR="00965F13" w:rsidRDefault="00965F13" w:rsidP="00965F13">
      <w:pPr>
        <w:pStyle w:val="ListParagraph"/>
        <w:numPr>
          <w:ilvl w:val="0"/>
          <w:numId w:val="3"/>
        </w:numPr>
      </w:pPr>
      <w:r>
        <w:t xml:space="preserve">Estimated only with those </w:t>
      </w:r>
      <w:r w:rsidR="000B3DB4">
        <w:t>organizations</w:t>
      </w:r>
      <w:r>
        <w:t xml:space="preserve"> with sufficient within-group information to compute the OLS regression.</w:t>
      </w:r>
    </w:p>
    <w:p w:rsidR="00965F13" w:rsidRDefault="00965F13" w:rsidP="00965F13">
      <w:pPr>
        <w:pStyle w:val="ListParagraph"/>
        <w:numPr>
          <w:ilvl w:val="0"/>
          <w:numId w:val="3"/>
        </w:numPr>
      </w:pPr>
      <w:r>
        <w:t>These can be confirmed with the multivariate likelihood ratio test, based on the deviance statistics for nested models (those with fixed versus random variance components).</w:t>
      </w:r>
    </w:p>
    <w:p w:rsidR="0092536F" w:rsidRDefault="0092536F" w:rsidP="004D1A04"/>
    <w:p w:rsidR="00FA7F2E" w:rsidRDefault="00965F13" w:rsidP="00965F13">
      <w:pPr>
        <w:ind w:left="720"/>
      </w:pPr>
      <w:r>
        <w:t>Creating a model to explore how differences among schools in their organizational characteristics influences the social distribution of achievement within schools.</w:t>
      </w:r>
    </w:p>
    <w:p w:rsidR="00965F13" w:rsidRDefault="00965F13" w:rsidP="00965F13">
      <w:pPr>
        <w:ind w:left="720"/>
      </w:pPr>
    </w:p>
    <w:p w:rsidR="004B57FE" w:rsidRDefault="004B57FE" w:rsidP="004B57FE">
      <w:pPr>
        <w:pStyle w:val="BodyTextIndent"/>
        <w:ind w:left="0"/>
      </w:pPr>
      <w:r>
        <w:rPr>
          <w:iCs/>
        </w:rPr>
        <w:tab/>
      </w:r>
      <w:r w:rsidR="00905959" w:rsidRPr="00836541">
        <w:rPr>
          <w:position w:val="-14"/>
        </w:rPr>
        <w:object w:dxaOrig="7360" w:dyaOrig="380">
          <v:shape id="_x0000_i1296" type="#_x0000_t75" style="width:368pt;height:20pt" o:ole="">
            <v:imagedata r:id="rId44" o:title=""/>
          </v:shape>
          <o:OLEObject Type="Embed" ProgID="Equation.3" ShapeID="_x0000_i1296" DrawAspect="Content" ObjectID="_1569133243" r:id="rId45"/>
        </w:object>
      </w:r>
    </w:p>
    <w:p w:rsidR="00905959" w:rsidRDefault="00905959" w:rsidP="00905959">
      <w:pPr>
        <w:pStyle w:val="BodyTextIndent"/>
        <w:ind w:left="720" w:firstLine="720"/>
      </w:pPr>
      <w:r w:rsidRPr="004F5753">
        <w:rPr>
          <w:position w:val="-14"/>
        </w:rPr>
        <w:object w:dxaOrig="7900" w:dyaOrig="380">
          <v:shape id="_x0000_i1294" type="#_x0000_t75" style="width:394.65pt;height:18.65pt" o:ole="">
            <v:imagedata r:id="rId46" o:title=""/>
          </v:shape>
          <o:OLEObject Type="Embed" ProgID="Equation.3" ShapeID="_x0000_i1294" DrawAspect="Content" ObjectID="_1569133244" r:id="rId47"/>
        </w:object>
      </w:r>
    </w:p>
    <w:p w:rsidR="00965F13" w:rsidRDefault="00905959" w:rsidP="00905959">
      <w:pPr>
        <w:pStyle w:val="BodyTextIndent"/>
        <w:ind w:left="0"/>
      </w:pPr>
      <w:r>
        <w:tab/>
      </w:r>
      <w:r w:rsidR="00041F57" w:rsidRPr="00836541">
        <w:rPr>
          <w:position w:val="-14"/>
        </w:rPr>
        <w:object w:dxaOrig="6440" w:dyaOrig="380">
          <v:shape id="_x0000_i1321" type="#_x0000_t75" style="width:321.35pt;height:20pt" o:ole="">
            <v:imagedata r:id="rId48" o:title=""/>
          </v:shape>
          <o:OLEObject Type="Embed" ProgID="Equation.3" ShapeID="_x0000_i1321" DrawAspect="Content" ObjectID="_1569133245" r:id="rId49"/>
        </w:object>
      </w:r>
    </w:p>
    <w:p w:rsidR="00FA7F2E" w:rsidRDefault="00905959" w:rsidP="004D1A04">
      <w:r>
        <w:tab/>
      </w:r>
      <w:r w:rsidR="006C7028" w:rsidRPr="00836541">
        <w:rPr>
          <w:position w:val="-14"/>
        </w:rPr>
        <w:object w:dxaOrig="6560" w:dyaOrig="380">
          <v:shape id="_x0000_i1318" type="#_x0000_t75" style="width:328pt;height:20pt" o:ole="">
            <v:imagedata r:id="rId50" o:title=""/>
          </v:shape>
          <o:OLEObject Type="Embed" ProgID="Equation.3" ShapeID="_x0000_i1318" DrawAspect="Content" ObjectID="_1569133246" r:id="rId51"/>
        </w:object>
      </w:r>
    </w:p>
    <w:p w:rsidR="00965F13" w:rsidRDefault="006C7028" w:rsidP="00905959">
      <w:pPr>
        <w:ind w:firstLine="720"/>
      </w:pPr>
      <w:r w:rsidRPr="00836541">
        <w:rPr>
          <w:position w:val="-14"/>
        </w:rPr>
        <w:object w:dxaOrig="6520" w:dyaOrig="380">
          <v:shape id="_x0000_i1319" type="#_x0000_t75" style="width:325.35pt;height:20pt" o:ole="">
            <v:imagedata r:id="rId52" o:title=""/>
          </v:shape>
          <o:OLEObject Type="Embed" ProgID="Equation.3" ShapeID="_x0000_i1319" DrawAspect="Content" ObjectID="_1569133247" r:id="rId53"/>
        </w:object>
      </w:r>
    </w:p>
    <w:p w:rsidR="00965F13" w:rsidRDefault="00965F13" w:rsidP="004D1A04"/>
    <w:p w:rsidR="00041F57" w:rsidRDefault="00041F57" w:rsidP="004D1A04"/>
    <w:p w:rsidR="00946848" w:rsidRDefault="00946848">
      <w:pPr>
        <w:rPr>
          <w:b/>
        </w:rPr>
      </w:pPr>
      <w:r>
        <w:rPr>
          <w:b/>
        </w:rPr>
        <w:br w:type="page"/>
      </w:r>
    </w:p>
    <w:p w:rsidR="00965F13" w:rsidRPr="00041F57" w:rsidRDefault="00041F57" w:rsidP="00352685">
      <w:pPr>
        <w:pBdr>
          <w:bottom w:val="single" w:sz="4" w:space="1" w:color="auto"/>
        </w:pBdr>
        <w:rPr>
          <w:b/>
        </w:rPr>
      </w:pPr>
      <w:r w:rsidRPr="00041F57">
        <w:rPr>
          <w:b/>
        </w:rPr>
        <w:lastRenderedPageBreak/>
        <w:t>Centering Considerations</w:t>
      </w:r>
    </w:p>
    <w:p w:rsidR="00965F13" w:rsidRDefault="00965F13" w:rsidP="004D1A04"/>
    <w:p w:rsidR="00041F57" w:rsidRPr="00352685" w:rsidRDefault="00352685" w:rsidP="004D1A04">
      <w:pPr>
        <w:rPr>
          <w:b/>
          <w:i/>
        </w:rPr>
      </w:pPr>
      <w:r>
        <w:rPr>
          <w:b/>
          <w:i/>
        </w:rPr>
        <w:t xml:space="preserve">1. </w:t>
      </w:r>
      <w:r w:rsidR="00041F57" w:rsidRPr="00352685">
        <w:rPr>
          <w:b/>
          <w:i/>
        </w:rPr>
        <w:t>Estimating fixed level-1 coefficients</w:t>
      </w:r>
    </w:p>
    <w:p w:rsidR="00041F57" w:rsidRDefault="00041F57" w:rsidP="004D1A04"/>
    <w:p w:rsidR="00DF1B08" w:rsidRDefault="00DF1B08" w:rsidP="004D1A04">
      <w:r w:rsidRPr="00DF1B08">
        <w:rPr>
          <w:noProof/>
          <w:vertAlign w:val="subscript"/>
        </w:rPr>
        <w:drawing>
          <wp:inline distT="0" distB="0" distL="0" distR="0">
            <wp:extent cx="5891530" cy="4848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F57" w:rsidRDefault="00DF1B08" w:rsidP="00946848">
      <w:pPr>
        <w:ind w:firstLine="720"/>
      </w:pPr>
      <w:r>
        <w:t>Figure 5.1.</w:t>
      </w:r>
    </w:p>
    <w:p w:rsidR="00041F57" w:rsidRDefault="00DF1B08" w:rsidP="00DF1B08">
      <w:pPr>
        <w:ind w:left="720"/>
      </w:pPr>
      <w:proofErr w:type="gramStart"/>
      <w:r>
        <w:t>β</w:t>
      </w:r>
      <w:r w:rsidRPr="00DF1B08">
        <w:rPr>
          <w:vertAlign w:val="subscript"/>
        </w:rPr>
        <w:t>w</w:t>
      </w:r>
      <w:proofErr w:type="gramEnd"/>
      <w:r>
        <w:t xml:space="preserve"> = within-group regression lines</w:t>
      </w:r>
      <w:r w:rsidR="0038095C">
        <w:t xml:space="preserve"> (within ellipses)</w:t>
      </w:r>
    </w:p>
    <w:p w:rsidR="00DF1B08" w:rsidRDefault="00DF1B08" w:rsidP="00DF1B08">
      <w:pPr>
        <w:ind w:left="720"/>
      </w:pPr>
      <w:proofErr w:type="gramStart"/>
      <w:r>
        <w:t>β</w:t>
      </w:r>
      <w:r w:rsidRPr="00DF1B08">
        <w:rPr>
          <w:vertAlign w:val="subscript"/>
        </w:rPr>
        <w:t>b</w:t>
      </w:r>
      <w:proofErr w:type="gramEnd"/>
      <w:r>
        <w:t xml:space="preserve"> = between-group regression lines</w:t>
      </w:r>
      <w:r w:rsidR="0038095C">
        <w:t xml:space="preserve"> (solid line)</w:t>
      </w:r>
    </w:p>
    <w:p w:rsidR="00DF1B08" w:rsidRDefault="00DF1B08" w:rsidP="00DF1B08">
      <w:pPr>
        <w:ind w:left="720"/>
      </w:pPr>
      <w:proofErr w:type="gramStart"/>
      <w:r>
        <w:t>β</w:t>
      </w:r>
      <w:r w:rsidRPr="00DF1B08">
        <w:rPr>
          <w:vertAlign w:val="subscript"/>
        </w:rPr>
        <w:t>t</w:t>
      </w:r>
      <w:proofErr w:type="gramEnd"/>
      <w:r>
        <w:t xml:space="preserve"> = total regression</w:t>
      </w:r>
      <w:r w:rsidR="0038095C">
        <w:t xml:space="preserve"> (dashed line)</w:t>
      </w:r>
    </w:p>
    <w:p w:rsidR="00DF1B08" w:rsidRDefault="00DF1B08" w:rsidP="004D1A04"/>
    <w:p w:rsidR="00946848" w:rsidRDefault="00946848" w:rsidP="00946848">
      <w:pPr>
        <w:ind w:firstLine="360"/>
      </w:pPr>
      <w:r>
        <w:t>A few characteristics of centering in organization effects research.</w:t>
      </w:r>
    </w:p>
    <w:p w:rsidR="00DF1B08" w:rsidRDefault="0038095C" w:rsidP="00946848">
      <w:pPr>
        <w:pStyle w:val="ListParagraph"/>
        <w:numPr>
          <w:ilvl w:val="0"/>
          <w:numId w:val="2"/>
        </w:numPr>
      </w:pPr>
      <w:r>
        <w:t>In unbalanced designs, when β</w:t>
      </w:r>
      <w:r w:rsidRPr="00946848">
        <w:rPr>
          <w:vertAlign w:val="subscript"/>
        </w:rPr>
        <w:t>b</w:t>
      </w:r>
      <w:r>
        <w:t xml:space="preserve"> = </w:t>
      </w:r>
      <w:proofErr w:type="gramStart"/>
      <w:r>
        <w:t>β</w:t>
      </w:r>
      <w:r w:rsidRPr="00946848">
        <w:rPr>
          <w:vertAlign w:val="subscript"/>
        </w:rPr>
        <w:t>w</w:t>
      </w:r>
      <w:r>
        <w:t xml:space="preserve"> ,</w:t>
      </w:r>
      <w:proofErr w:type="gramEnd"/>
      <w:r>
        <w:t xml:space="preserve"> grand-mean centering is most efficient.</w:t>
      </w:r>
    </w:p>
    <w:p w:rsidR="00946848" w:rsidRDefault="00946848" w:rsidP="00946848">
      <w:pPr>
        <w:pStyle w:val="ListParagraph"/>
        <w:numPr>
          <w:ilvl w:val="0"/>
          <w:numId w:val="2"/>
        </w:numPr>
      </w:pPr>
      <w:r>
        <w:t>When β</w:t>
      </w:r>
      <w:r w:rsidRPr="00946848">
        <w:rPr>
          <w:vertAlign w:val="subscript"/>
        </w:rPr>
        <w:t>b</w:t>
      </w:r>
      <w:r>
        <w:t xml:space="preserve"> ≠ </w:t>
      </w:r>
      <w:proofErr w:type="gramStart"/>
      <w:r>
        <w:t>β</w:t>
      </w:r>
      <w:r w:rsidRPr="00946848">
        <w:rPr>
          <w:vertAlign w:val="subscript"/>
        </w:rPr>
        <w:t>w</w:t>
      </w:r>
      <w:r>
        <w:t xml:space="preserve"> ,</w:t>
      </w:r>
      <w:proofErr w:type="gramEnd"/>
      <w:r>
        <w:t xml:space="preserve"> grand-mean centering produces an inappropriate estimator of the person level effects. In this case, γ</w:t>
      </w:r>
      <w:r w:rsidRPr="00946848">
        <w:rPr>
          <w:vertAlign w:val="subscript"/>
        </w:rPr>
        <w:t>10</w:t>
      </w:r>
      <w:r>
        <w:t xml:space="preserve"> is an uninterpretable blend of all three estimators.</w:t>
      </w:r>
    </w:p>
    <w:p w:rsidR="00946848" w:rsidRDefault="00946848" w:rsidP="00946848">
      <w:pPr>
        <w:pStyle w:val="ListParagraph"/>
        <w:numPr>
          <w:ilvl w:val="0"/>
          <w:numId w:val="2"/>
        </w:numPr>
      </w:pPr>
      <w:r>
        <w:t>When an unbiased estimator of β</w:t>
      </w:r>
      <w:r w:rsidRPr="00946848">
        <w:rPr>
          <w:vertAlign w:val="subscript"/>
        </w:rPr>
        <w:t>w</w:t>
      </w:r>
      <w:r>
        <w:t xml:space="preserve"> is desired, group-mean centering is appropriate.</w:t>
      </w:r>
    </w:p>
    <w:p w:rsidR="00DF1B08" w:rsidRDefault="00DF1B08" w:rsidP="004D1A04"/>
    <w:p w:rsidR="005135CE" w:rsidRDefault="005135CE">
      <w:pPr>
        <w:rPr>
          <w:b/>
        </w:rPr>
      </w:pPr>
      <w:r>
        <w:rPr>
          <w:b/>
        </w:rPr>
        <w:br w:type="page"/>
      </w:r>
    </w:p>
    <w:p w:rsidR="00946848" w:rsidRPr="00352685" w:rsidRDefault="00352685" w:rsidP="004D1A04">
      <w:pPr>
        <w:rPr>
          <w:b/>
          <w:i/>
        </w:rPr>
      </w:pPr>
      <w:r>
        <w:rPr>
          <w:b/>
          <w:i/>
        </w:rPr>
        <w:lastRenderedPageBreak/>
        <w:t xml:space="preserve">2. </w:t>
      </w:r>
      <w:r w:rsidR="00946848" w:rsidRPr="00352685">
        <w:rPr>
          <w:b/>
          <w:i/>
        </w:rPr>
        <w:t>Disentangling person-level and compositional effects</w:t>
      </w:r>
    </w:p>
    <w:p w:rsidR="00946848" w:rsidRDefault="00946848" w:rsidP="004D1A04"/>
    <w:p w:rsidR="00946848" w:rsidRDefault="00946848" w:rsidP="004D1A04">
      <w:r>
        <w:t>A composition effect, or contextual effect, occurs when the aggregate of a person-level characteristic</w:t>
      </w:r>
      <w:proofErr w:type="gramStart"/>
      <w:r w:rsidR="004221FD">
        <w:t>,</w:t>
      </w:r>
      <w: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∙j</m:t>
            </m:r>
          </m:sub>
        </m:sSub>
      </m:oMath>
      <w:r w:rsidR="004221FD">
        <w:t>,</w:t>
      </w:r>
      <w:r>
        <w:t xml:space="preserve"> is related to the outcome, </w:t>
      </w:r>
      <w:proofErr w:type="spellStart"/>
      <w:r w:rsidRPr="004221FD">
        <w:rPr>
          <w:i/>
        </w:rPr>
        <w:t>Y</w:t>
      </w:r>
      <w:r w:rsidRPr="004221FD">
        <w:rPr>
          <w:i/>
          <w:vertAlign w:val="subscript"/>
        </w:rPr>
        <w:t>ij</w:t>
      </w:r>
      <w:proofErr w:type="spellEnd"/>
      <w:r>
        <w:t xml:space="preserve"> , even after controlling for the effects of the individual characteristic </w:t>
      </w:r>
      <w:proofErr w:type="spellStart"/>
      <w:r w:rsidRPr="004221FD">
        <w:rPr>
          <w:i/>
        </w:rPr>
        <w:t>X</w:t>
      </w:r>
      <w:r w:rsidRPr="004221FD">
        <w:rPr>
          <w:i/>
          <w:vertAlign w:val="subscript"/>
        </w:rPr>
        <w:t>ij</w:t>
      </w:r>
      <w:proofErr w:type="spellEnd"/>
      <w:r>
        <w:t>.</w:t>
      </w:r>
    </w:p>
    <w:p w:rsidR="004221FD" w:rsidRDefault="004221FD" w:rsidP="004D1A04"/>
    <w:p w:rsidR="004221FD" w:rsidRDefault="004221FD" w:rsidP="004D1A04">
      <w:r>
        <w:t xml:space="preserve">In an OLS regression, we can represent these effects by including both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∙j</m:t>
                </m:r>
              </m:sub>
            </m:sSub>
          </m:e>
        </m:d>
      </m:oMath>
      <w:r>
        <w:t xml:space="preserve"> </w:t>
      </w:r>
      <w:proofErr w:type="gramStart"/>
      <w:r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w:proofErr w:type="gramEnd"/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∙j</m:t>
            </m:r>
          </m:sub>
        </m:sSub>
      </m:oMath>
      <w:r>
        <w:t xml:space="preserve"> :</w:t>
      </w:r>
    </w:p>
    <w:p w:rsidR="004221FD" w:rsidRDefault="004221FD" w:rsidP="004D1A04"/>
    <w:p w:rsidR="004221FD" w:rsidRDefault="004221FD" w:rsidP="004D1A04">
      <w:r>
        <w:tab/>
      </w:r>
      <w:r w:rsidR="00B725FE" w:rsidRPr="004F5753">
        <w:rPr>
          <w:position w:val="-14"/>
        </w:rPr>
        <w:object w:dxaOrig="3519" w:dyaOrig="420">
          <v:shape id="_x0000_i1333" type="#_x0000_t75" style="width:176pt;height:21.35pt" o:ole="">
            <v:imagedata r:id="rId55" o:title=""/>
          </v:shape>
          <o:OLEObject Type="Embed" ProgID="Equation.3" ShapeID="_x0000_i1333" DrawAspect="Content" ObjectID="_1569133248" r:id="rId56"/>
        </w:object>
      </w:r>
    </w:p>
    <w:p w:rsidR="004221FD" w:rsidRDefault="004221FD" w:rsidP="004D1A04"/>
    <w:p w:rsidR="004221FD" w:rsidRDefault="004221FD" w:rsidP="004D1A04">
      <w:r>
        <w:t>Formally, the compositional effect is the extent to which the organizational-level association, β</w:t>
      </w:r>
      <w:r w:rsidRPr="00DF1B08">
        <w:rPr>
          <w:vertAlign w:val="subscript"/>
        </w:rPr>
        <w:t>b</w:t>
      </w:r>
      <w:r>
        <w:t xml:space="preserve"> is different </w:t>
      </w:r>
      <w:proofErr w:type="gramStart"/>
      <w:r>
        <w:t>than</w:t>
      </w:r>
      <w:proofErr w:type="gramEnd"/>
      <w:r>
        <w:t xml:space="preserve"> the person-level association, β</w:t>
      </w:r>
      <w:r w:rsidRPr="00DF1B08">
        <w:rPr>
          <w:vertAlign w:val="subscript"/>
        </w:rPr>
        <w:t>w</w:t>
      </w:r>
      <w:r>
        <w:t>.</w:t>
      </w:r>
    </w:p>
    <w:p w:rsidR="004221FD" w:rsidRDefault="004221FD" w:rsidP="004D1A04"/>
    <w:p w:rsidR="00946848" w:rsidRDefault="004221FD" w:rsidP="00B725FE">
      <w:pPr>
        <w:ind w:firstLine="720"/>
      </w:pPr>
      <w:proofErr w:type="gramStart"/>
      <w:r>
        <w:t>β</w:t>
      </w:r>
      <w:r>
        <w:rPr>
          <w:vertAlign w:val="subscript"/>
        </w:rPr>
        <w:t>c</w:t>
      </w:r>
      <w:proofErr w:type="gramEnd"/>
      <w:r>
        <w:t xml:space="preserve"> =</w:t>
      </w:r>
      <w:r w:rsidR="00B725FE">
        <w:t xml:space="preserve"> β</w:t>
      </w:r>
      <w:r w:rsidR="00B725FE">
        <w:rPr>
          <w:vertAlign w:val="subscript"/>
        </w:rPr>
        <w:t>2</w:t>
      </w:r>
      <w:r w:rsidR="00B725FE">
        <w:t xml:space="preserve"> – β</w:t>
      </w:r>
      <w:r w:rsidR="00B725FE">
        <w:rPr>
          <w:vertAlign w:val="subscript"/>
        </w:rPr>
        <w:t>1</w:t>
      </w:r>
      <w:r w:rsidRPr="004221FD">
        <w:t xml:space="preserve"> </w:t>
      </w:r>
      <w:r w:rsidR="00B725FE">
        <w:t xml:space="preserve">= </w:t>
      </w:r>
      <w:r>
        <w:t>β</w:t>
      </w:r>
      <w:r>
        <w:rPr>
          <w:vertAlign w:val="subscript"/>
        </w:rPr>
        <w:t>b</w:t>
      </w:r>
      <w:r>
        <w:t xml:space="preserve"> – β</w:t>
      </w:r>
      <w:r w:rsidRPr="00DF1B08">
        <w:rPr>
          <w:vertAlign w:val="subscript"/>
        </w:rPr>
        <w:t>w</w:t>
      </w:r>
      <w:r>
        <w:t xml:space="preserve"> </w:t>
      </w:r>
    </w:p>
    <w:p w:rsidR="00946848" w:rsidRDefault="00946848" w:rsidP="004D1A04"/>
    <w:p w:rsidR="00B725FE" w:rsidRDefault="00B725FE" w:rsidP="004D1A04">
      <w:r>
        <w:t>If β</w:t>
      </w:r>
      <w:r>
        <w:rPr>
          <w:vertAlign w:val="subscript"/>
        </w:rPr>
        <w:t>2</w:t>
      </w:r>
      <w:r>
        <w:t xml:space="preserve"> and β</w:t>
      </w:r>
      <w:r>
        <w:rPr>
          <w:vertAlign w:val="subscript"/>
        </w:rPr>
        <w:t>1</w:t>
      </w:r>
      <w:r w:rsidRPr="004221FD">
        <w:t xml:space="preserve"> </w:t>
      </w:r>
      <w:r>
        <w:t>are equal, (β</w:t>
      </w:r>
      <w:r>
        <w:rPr>
          <w:vertAlign w:val="subscript"/>
        </w:rPr>
        <w:t>b</w:t>
      </w:r>
      <w:r>
        <w:t xml:space="preserve"> and β</w:t>
      </w:r>
      <w:r>
        <w:rPr>
          <w:vertAlign w:val="subscript"/>
        </w:rPr>
        <w:t>w</w:t>
      </w:r>
      <w:r>
        <w:t>), there is no compositional effect.</w:t>
      </w:r>
    </w:p>
    <w:p w:rsidR="00DF1B08" w:rsidRDefault="0074679F" w:rsidP="004D1A04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1661823</wp:posOffset>
                </wp:positionH>
                <wp:positionV relativeFrom="paragraph">
                  <wp:posOffset>1578941</wp:posOffset>
                </wp:positionV>
                <wp:extent cx="1789045" cy="929995"/>
                <wp:effectExtent l="0" t="0" r="1905" b="381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9045" cy="929995"/>
                          <a:chOff x="-65825" y="0"/>
                          <a:chExt cx="2115759" cy="1079422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588397" y="0"/>
                            <a:ext cx="842838" cy="1009816"/>
                            <a:chOff x="0" y="0"/>
                            <a:chExt cx="831850" cy="1035050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>
                              <a:off x="317500" y="6350"/>
                              <a:ext cx="0" cy="102552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Left Brace 7"/>
                          <wps:cNvSpPr/>
                          <wps:spPr>
                            <a:xfrm>
                              <a:off x="0" y="0"/>
                              <a:ext cx="276225" cy="831850"/>
                            </a:xfrm>
                            <a:prstGeom prst="leftBrace">
                              <a:avLst/>
                            </a:prstGeom>
                            <a:ln w="254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ight Brace 8"/>
                          <wps:cNvSpPr/>
                          <wps:spPr>
                            <a:xfrm>
                              <a:off x="368300" y="838200"/>
                              <a:ext cx="120650" cy="193675"/>
                            </a:xfrm>
                            <a:prstGeom prst="rightBrac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ight Brace 9"/>
                          <wps:cNvSpPr/>
                          <wps:spPr>
                            <a:xfrm>
                              <a:off x="571500" y="6350"/>
                              <a:ext cx="260350" cy="1028700"/>
                            </a:xfrm>
                            <a:prstGeom prst="rightBrac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/>
                        <wps:spPr>
                          <a:xfrm>
                            <a:off x="1605795" y="311504"/>
                            <a:ext cx="444139" cy="3492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E25A1" w:rsidRPr="0013606F" w:rsidRDefault="00DE25A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13606F">
                                <w:rPr>
                                  <w:sz w:val="32"/>
                                  <w:szCs w:val="32"/>
                                </w:rPr>
                                <w:t>β</w:t>
                              </w:r>
                              <w:r w:rsidRPr="0013606F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478725" y="730173"/>
                            <a:ext cx="505382" cy="3492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E25A1" w:rsidRPr="0013606F" w:rsidRDefault="00DE25A1" w:rsidP="0013606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13606F">
                                <w:rPr>
                                  <w:sz w:val="32"/>
                                  <w:szCs w:val="32"/>
                                </w:rPr>
                                <w:t>β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w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65825" y="294066"/>
                            <a:ext cx="479571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E25A1" w:rsidRPr="0013606F" w:rsidRDefault="00DE25A1" w:rsidP="0013606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13606F">
                                <w:rPr>
                                  <w:sz w:val="32"/>
                                  <w:szCs w:val="32"/>
                                </w:rPr>
                                <w:t>β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30.85pt;margin-top:124.35pt;width:140.85pt;height:73.25pt;z-index:251668480;mso-width-relative:margin;mso-height-relative:margin" coordorigin="-658" coordsize="21157,10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">
                <v:group id="Group 10" o:spid="_x0000_s1027" style="position:absolute;left:5883;width:8429;height:10098" coordsize="8318,1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Straight Connector 6" o:spid="_x0000_s1028" style="position:absolute;visibility:visible;mso-wrap-style:square" from="3175,63" to="3175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" strokecolor="#c00000" strokeweight="3pt">
                    <v:stroke joinstyle="miter"/>
                  </v:lin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Left Brace 7" o:spid="_x0000_s1029" type="#_x0000_t87" style="position:absolute;width:2762;height:8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" adj="598" strokecolor="#2e74b5 [2404]" strokeweight="2pt">
                    <v:stroke joinstyle="miter"/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8" o:spid="_x0000_s1030" type="#_x0000_t88" style="position:absolute;left:3683;top:8382;width:1206;height:1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" adj="1121" strokecolor="#5b9bd5 [3204]" strokeweight="1.25pt">
                    <v:stroke joinstyle="miter"/>
                  </v:shape>
                  <v:shape id="Right Brace 9" o:spid="_x0000_s1031" type="#_x0000_t88" style="position:absolute;left:5715;top:63;width:260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" adj="456" strokecolor="#5b9bd5 [3204]" strokeweight="2pt">
                    <v:stroke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16057;top:3115;width:4442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DE25A1" w:rsidRPr="0013606F" w:rsidRDefault="00DE25A1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13606F">
                          <w:rPr>
                            <w:sz w:val="32"/>
                            <w:szCs w:val="32"/>
                          </w:rPr>
                          <w:t>β</w:t>
                        </w:r>
                        <w:r w:rsidRPr="0013606F">
                          <w:rPr>
                            <w:sz w:val="32"/>
                            <w:szCs w:val="32"/>
                            <w:vertAlign w:val="subscript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12" o:spid="_x0000_s1033" type="#_x0000_t202" style="position:absolute;left:14787;top:7301;width:5054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DE25A1" w:rsidRPr="0013606F" w:rsidRDefault="00DE25A1" w:rsidP="0013606F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13606F">
                          <w:rPr>
                            <w:sz w:val="32"/>
                            <w:szCs w:val="32"/>
                          </w:rPr>
                          <w:t>β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w</w:t>
                        </w:r>
                        <w:proofErr w:type="gramEnd"/>
                      </w:p>
                    </w:txbxContent>
                  </v:textbox>
                </v:shape>
                <v:shape id="Text Box 13" o:spid="_x0000_s1034" type="#_x0000_t202" style="position:absolute;left:-658;top:2940;width:4795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DE25A1" w:rsidRPr="0013606F" w:rsidRDefault="00DE25A1" w:rsidP="0013606F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13606F">
                          <w:rPr>
                            <w:sz w:val="32"/>
                            <w:szCs w:val="32"/>
                          </w:rPr>
                          <w:t>β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13606F">
        <w:rPr>
          <w:noProof/>
        </w:rPr>
        <w:drawing>
          <wp:inline distT="0" distB="0" distL="0" distR="0">
            <wp:extent cx="4595854" cy="3923970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472" cy="394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6F" w:rsidRDefault="0013606F" w:rsidP="004D1A04"/>
    <w:p w:rsidR="005135CE" w:rsidRDefault="005135CE" w:rsidP="005135CE">
      <w:pPr>
        <w:pStyle w:val="ListParagraph"/>
        <w:numPr>
          <w:ilvl w:val="0"/>
          <w:numId w:val="4"/>
        </w:numPr>
        <w:ind w:left="360"/>
      </w:pPr>
      <w:r>
        <w:t>Three schools, each differ by one unit on X (SES).</w:t>
      </w:r>
    </w:p>
    <w:p w:rsidR="005135CE" w:rsidRDefault="005135CE" w:rsidP="005135CE">
      <w:pPr>
        <w:pStyle w:val="ListParagraph"/>
        <w:numPr>
          <w:ilvl w:val="0"/>
          <w:numId w:val="4"/>
        </w:numPr>
        <w:ind w:left="360"/>
      </w:pPr>
      <w:proofErr w:type="gramStart"/>
      <w:r>
        <w:t>β</w:t>
      </w:r>
      <w:r w:rsidRPr="00DF1B08">
        <w:rPr>
          <w:vertAlign w:val="subscript"/>
        </w:rPr>
        <w:t>w</w:t>
      </w:r>
      <w:proofErr w:type="gramEnd"/>
      <w:r>
        <w:t xml:space="preserve"> is the expected difference on Y for two students within the same school who differ by one unit on SES.</w:t>
      </w:r>
    </w:p>
    <w:p w:rsidR="005135CE" w:rsidRDefault="005135CE" w:rsidP="005135CE">
      <w:pPr>
        <w:pStyle w:val="ListParagraph"/>
        <w:numPr>
          <w:ilvl w:val="0"/>
          <w:numId w:val="4"/>
        </w:numPr>
        <w:ind w:left="360"/>
      </w:pPr>
      <w:proofErr w:type="spellStart"/>
      <w:r>
        <w:t>Β</w:t>
      </w:r>
      <w:r>
        <w:rPr>
          <w:vertAlign w:val="subscript"/>
        </w:rPr>
        <w:t>b</w:t>
      </w:r>
      <w:proofErr w:type="spellEnd"/>
      <w:r>
        <w:t xml:space="preserve"> is the expected difference between </w:t>
      </w:r>
      <w:proofErr w:type="gramStart"/>
      <w:r>
        <w:t>the  means</w:t>
      </w:r>
      <w:proofErr w:type="gramEnd"/>
      <w:r>
        <w:t xml:space="preserve"> of two schools that differ one unit in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SES</m:t>
            </m:r>
          </m:e>
        </m:acc>
      </m:oMath>
      <w:r>
        <w:t>.</w:t>
      </w:r>
    </w:p>
    <w:p w:rsidR="005135CE" w:rsidRDefault="005135CE" w:rsidP="005135CE">
      <w:pPr>
        <w:pStyle w:val="ListParagraph"/>
        <w:numPr>
          <w:ilvl w:val="0"/>
          <w:numId w:val="4"/>
        </w:numPr>
        <w:ind w:left="360"/>
      </w:pPr>
      <w:r>
        <w:t>The contextual effect, β</w:t>
      </w:r>
      <w:r w:rsidRPr="005135CE">
        <w:rPr>
          <w:vertAlign w:val="subscript"/>
        </w:rPr>
        <w:t>c</w:t>
      </w:r>
      <w:r>
        <w:t xml:space="preserve"> = β</w:t>
      </w:r>
      <w:r w:rsidRPr="005135CE">
        <w:rPr>
          <w:vertAlign w:val="subscript"/>
        </w:rPr>
        <w:t>b</w:t>
      </w:r>
      <w:r>
        <w:t xml:space="preserve"> – </w:t>
      </w:r>
      <w:proofErr w:type="gramStart"/>
      <w:r>
        <w:t>β</w:t>
      </w:r>
      <w:r w:rsidRPr="005135CE">
        <w:rPr>
          <w:vertAlign w:val="subscript"/>
        </w:rPr>
        <w:t>w</w:t>
      </w:r>
      <w:r>
        <w:t xml:space="preserve"> ,</w:t>
      </w:r>
      <w:proofErr w:type="gramEnd"/>
      <w:r>
        <w:t xml:space="preserve"> is the expected difference in outcome (Y) between two students with the same SES, but attend schools that differ by one unit in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SES</m:t>
            </m:r>
          </m:e>
        </m:acc>
      </m:oMath>
      <w:r>
        <w:t>.</w:t>
      </w:r>
    </w:p>
    <w:p w:rsidR="005135CE" w:rsidRDefault="005135CE" w:rsidP="004D1A04"/>
    <w:p w:rsidR="005135CE" w:rsidRDefault="005135CE" w:rsidP="004D1A04">
      <w:r>
        <w:t>In this case, the contextual effect is the increment to learning to a student because they are educated in school 2 instead of school 1.</w:t>
      </w:r>
    </w:p>
    <w:p w:rsidR="005135CE" w:rsidRDefault="005135CE" w:rsidP="004D1A04"/>
    <w:p w:rsidR="005135CE" w:rsidRDefault="005135CE" w:rsidP="004D1A04">
      <w:r>
        <w:t>Estimating the contextual effect depends on how we center level-1 variables.</w:t>
      </w:r>
    </w:p>
    <w:p w:rsidR="00B749C4" w:rsidRDefault="00B749C4" w:rsidP="00DE25A1">
      <w:pPr>
        <w:pStyle w:val="ListParagraph"/>
        <w:numPr>
          <w:ilvl w:val="0"/>
          <w:numId w:val="2"/>
        </w:numPr>
      </w:pPr>
      <w:r>
        <w:t xml:space="preserve">When group-mean centering, the association between X and Y is directly decomposed into within and between components. The compositional effect </w:t>
      </w:r>
      <w:proofErr w:type="gramStart"/>
      <w:r>
        <w:t>can be estimated</w:t>
      </w:r>
      <w:proofErr w:type="gramEnd"/>
      <w:r>
        <w:t xml:space="preserve"> by subtraction.</w:t>
      </w:r>
    </w:p>
    <w:p w:rsidR="005135CE" w:rsidRDefault="005135CE" w:rsidP="005135CE">
      <w:pPr>
        <w:pStyle w:val="ListParagraph"/>
        <w:numPr>
          <w:ilvl w:val="1"/>
          <w:numId w:val="2"/>
        </w:numPr>
      </w:pPr>
      <w:r>
        <w:t>β</w:t>
      </w:r>
      <w:r w:rsidRPr="005135CE">
        <w:rPr>
          <w:vertAlign w:val="subscript"/>
        </w:rPr>
        <w:t>c</w:t>
      </w:r>
      <w:r>
        <w:t xml:space="preserve"> = β</w:t>
      </w:r>
      <w:r w:rsidRPr="005135CE">
        <w:rPr>
          <w:vertAlign w:val="subscript"/>
        </w:rPr>
        <w:t>2</w:t>
      </w:r>
      <w:r>
        <w:t xml:space="preserve"> – β</w:t>
      </w:r>
      <w:r w:rsidRPr="005135CE">
        <w:rPr>
          <w:vertAlign w:val="subscript"/>
        </w:rPr>
        <w:t>1</w:t>
      </w:r>
      <w:r w:rsidRPr="004221FD">
        <w:t xml:space="preserve"> </w:t>
      </w:r>
      <w:r>
        <w:t>= β</w:t>
      </w:r>
      <w:r w:rsidRPr="005135CE">
        <w:rPr>
          <w:vertAlign w:val="subscript"/>
        </w:rPr>
        <w:t>b</w:t>
      </w:r>
      <w:r>
        <w:t xml:space="preserve"> – β</w:t>
      </w:r>
      <w:r w:rsidRPr="005135CE">
        <w:rPr>
          <w:vertAlign w:val="subscript"/>
        </w:rPr>
        <w:t>w</w:t>
      </w:r>
      <w:r>
        <w:t xml:space="preserve"> = </w:t>
      </w:r>
      <w:r w:rsidR="00F77588">
        <w:t>, γ</w:t>
      </w:r>
      <w:r w:rsidR="00F77588" w:rsidRPr="00946848">
        <w:rPr>
          <w:vertAlign w:val="subscript"/>
        </w:rPr>
        <w:t>0</w:t>
      </w:r>
      <w:r w:rsidR="00F77588">
        <w:rPr>
          <w:vertAlign w:val="subscript"/>
        </w:rPr>
        <w:t>1</w:t>
      </w:r>
      <w:r w:rsidR="00F77588">
        <w:t xml:space="preserve"> – γ</w:t>
      </w:r>
      <w:r w:rsidR="00F77588" w:rsidRPr="00946848">
        <w:rPr>
          <w:vertAlign w:val="subscript"/>
        </w:rPr>
        <w:t>10</w:t>
      </w:r>
      <w:r w:rsidR="00F77588">
        <w:t xml:space="preserve"> </w:t>
      </w:r>
    </w:p>
    <w:p w:rsidR="00B749C4" w:rsidRDefault="00B749C4" w:rsidP="00F77588">
      <w:pPr>
        <w:pStyle w:val="ListParagraph"/>
        <w:numPr>
          <w:ilvl w:val="0"/>
          <w:numId w:val="2"/>
        </w:numPr>
      </w:pPr>
      <w:r>
        <w:t>When grand-mean centering, the compositional effect is estimated directly (γ</w:t>
      </w:r>
      <w:r w:rsidRPr="00B749C4">
        <w:rPr>
          <w:vertAlign w:val="subscript"/>
        </w:rPr>
        <w:t>01</w:t>
      </w:r>
      <w:r>
        <w:t>).</w:t>
      </w:r>
      <w:r w:rsidR="00F77588">
        <w:t xml:space="preserve"> If of interest, β</w:t>
      </w:r>
      <w:r w:rsidR="00F77588" w:rsidRPr="005135CE">
        <w:rPr>
          <w:vertAlign w:val="subscript"/>
        </w:rPr>
        <w:t>b</w:t>
      </w:r>
      <w:r w:rsidR="00F77588">
        <w:t xml:space="preserve"> = γ</w:t>
      </w:r>
      <w:r w:rsidR="00F77588" w:rsidRPr="00946848">
        <w:rPr>
          <w:vertAlign w:val="subscript"/>
        </w:rPr>
        <w:t>0</w:t>
      </w:r>
      <w:r w:rsidR="00F77588">
        <w:rPr>
          <w:vertAlign w:val="subscript"/>
        </w:rPr>
        <w:t>1</w:t>
      </w:r>
      <w:r w:rsidR="00F77588">
        <w:t xml:space="preserve"> + γ</w:t>
      </w:r>
      <w:r w:rsidR="00F77588" w:rsidRPr="00946848">
        <w:rPr>
          <w:vertAlign w:val="subscript"/>
        </w:rPr>
        <w:t>10</w:t>
      </w:r>
    </w:p>
    <w:p w:rsidR="00B749C4" w:rsidRDefault="00B749C4" w:rsidP="004D1A04"/>
    <w:p w:rsidR="00F77588" w:rsidRDefault="00F77588" w:rsidP="004D1A04">
      <w:r>
        <w:t>Table 5.11</w:t>
      </w:r>
    </w:p>
    <w:p w:rsidR="00F77588" w:rsidRDefault="00F77588" w:rsidP="004D1A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7588" w:rsidRPr="00DE25A1" w:rsidTr="00DE25A1">
        <w:trPr>
          <w:trHeight w:val="432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88" w:rsidRPr="00DE25A1" w:rsidRDefault="00F77588" w:rsidP="00DE25A1">
            <w:pPr>
              <w:rPr>
                <w:i/>
              </w:rPr>
            </w:pPr>
            <w:r w:rsidRPr="00DE25A1">
              <w:rPr>
                <w:i/>
              </w:rPr>
              <w:t>Group-Mean Centering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88" w:rsidRPr="00DE25A1" w:rsidRDefault="00F77588" w:rsidP="00DE25A1">
            <w:pPr>
              <w:rPr>
                <w:i/>
              </w:rPr>
            </w:pPr>
            <w:r w:rsidRPr="00DE25A1">
              <w:rPr>
                <w:i/>
              </w:rPr>
              <w:t>Grand-Mean Centering</w:t>
            </w:r>
          </w:p>
        </w:tc>
      </w:tr>
      <w:tr w:rsidR="00F77588" w:rsidTr="00DE25A1">
        <w:trPr>
          <w:trHeight w:val="432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:rsidR="00F77588" w:rsidRDefault="00DE25A1" w:rsidP="00DE25A1">
            <w:r w:rsidRPr="004F5753">
              <w:rPr>
                <w:position w:val="-14"/>
              </w:rPr>
              <w:object w:dxaOrig="2840" w:dyaOrig="420">
                <v:shape id="_x0000_i1396" type="#_x0000_t75" style="width:142.65pt;height:21.35pt" o:ole="">
                  <v:imagedata r:id="rId58" o:title=""/>
                </v:shape>
                <o:OLEObject Type="Embed" ProgID="Equation.3" ShapeID="_x0000_i1396" DrawAspect="Content" ObjectID="_1569133249" r:id="rId59"/>
              </w:object>
            </w:r>
          </w:p>
        </w:tc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:rsidR="00F77588" w:rsidRDefault="00DE25A1" w:rsidP="00DE25A1">
            <w:r w:rsidRPr="004F5753">
              <w:rPr>
                <w:position w:val="-14"/>
              </w:rPr>
              <w:object w:dxaOrig="2820" w:dyaOrig="420">
                <v:shape id="_x0000_i1399" type="#_x0000_t75" style="width:141.35pt;height:21.35pt" o:ole="">
                  <v:imagedata r:id="rId60" o:title=""/>
                </v:shape>
                <o:OLEObject Type="Embed" ProgID="Equation.3" ShapeID="_x0000_i1399" DrawAspect="Content" ObjectID="_1569133250" r:id="rId61"/>
              </w:object>
            </w:r>
          </w:p>
        </w:tc>
      </w:tr>
      <w:tr w:rsidR="00F77588" w:rsidTr="00DE25A1">
        <w:trPr>
          <w:trHeight w:val="432"/>
        </w:trPr>
        <w:tc>
          <w:tcPr>
            <w:tcW w:w="4675" w:type="dxa"/>
            <w:vAlign w:val="center"/>
          </w:tcPr>
          <w:p w:rsidR="00F77588" w:rsidRDefault="00F77588" w:rsidP="00DE25A1">
            <w:r w:rsidRPr="00836541">
              <w:rPr>
                <w:position w:val="-14"/>
              </w:rPr>
              <w:object w:dxaOrig="2320" w:dyaOrig="420">
                <v:shape id="_x0000_i1355" type="#_x0000_t75" style="width:116pt;height:21.35pt" o:ole="">
                  <v:imagedata r:id="rId62" o:title=""/>
                </v:shape>
                <o:OLEObject Type="Embed" ProgID="Equation.3" ShapeID="_x0000_i1355" DrawAspect="Content" ObjectID="_1569133251" r:id="rId63"/>
              </w:object>
            </w:r>
          </w:p>
        </w:tc>
        <w:tc>
          <w:tcPr>
            <w:tcW w:w="4675" w:type="dxa"/>
            <w:vAlign w:val="center"/>
          </w:tcPr>
          <w:p w:rsidR="00F77588" w:rsidRDefault="00F77588" w:rsidP="00DE25A1">
            <w:r w:rsidRPr="00836541">
              <w:rPr>
                <w:position w:val="-14"/>
              </w:rPr>
              <w:object w:dxaOrig="2320" w:dyaOrig="420" w14:anchorId="6062C1EB">
                <v:shape id="_x0000_i1357" type="#_x0000_t75" style="width:116pt;height:21.35pt" o:ole="">
                  <v:imagedata r:id="rId64" o:title=""/>
                </v:shape>
                <o:OLEObject Type="Embed" ProgID="Equation.3" ShapeID="_x0000_i1357" DrawAspect="Content" ObjectID="_1569133252" r:id="rId65"/>
              </w:object>
            </w:r>
          </w:p>
        </w:tc>
      </w:tr>
      <w:tr w:rsidR="00F77588" w:rsidTr="00DE25A1">
        <w:trPr>
          <w:trHeight w:val="432"/>
        </w:trPr>
        <w:tc>
          <w:tcPr>
            <w:tcW w:w="4675" w:type="dxa"/>
            <w:vAlign w:val="center"/>
          </w:tcPr>
          <w:p w:rsidR="00F77588" w:rsidRDefault="00F77588" w:rsidP="00DE25A1">
            <w:r w:rsidRPr="00836541">
              <w:rPr>
                <w:position w:val="-14"/>
              </w:rPr>
              <w:object w:dxaOrig="859" w:dyaOrig="380">
                <v:shape id="_x0000_i1356" type="#_x0000_t75" style="width:42.65pt;height:20pt" o:ole="">
                  <v:imagedata r:id="rId66" o:title=""/>
                </v:shape>
                <o:OLEObject Type="Embed" ProgID="Equation.3" ShapeID="_x0000_i1356" DrawAspect="Content" ObjectID="_1569133253" r:id="rId67"/>
              </w:object>
            </w:r>
          </w:p>
        </w:tc>
        <w:tc>
          <w:tcPr>
            <w:tcW w:w="4675" w:type="dxa"/>
            <w:vAlign w:val="center"/>
          </w:tcPr>
          <w:p w:rsidR="00F77588" w:rsidRDefault="00F77588" w:rsidP="00DE25A1">
            <w:r w:rsidRPr="00836541">
              <w:rPr>
                <w:position w:val="-14"/>
              </w:rPr>
              <w:object w:dxaOrig="859" w:dyaOrig="380" w14:anchorId="36001DCB">
                <v:shape id="_x0000_i1358" type="#_x0000_t75" style="width:42.65pt;height:20pt" o:ole="">
                  <v:imagedata r:id="rId68" o:title=""/>
                </v:shape>
                <o:OLEObject Type="Embed" ProgID="Equation.3" ShapeID="_x0000_i1358" DrawAspect="Content" ObjectID="_1569133254" r:id="rId69"/>
              </w:object>
            </w:r>
          </w:p>
        </w:tc>
      </w:tr>
      <w:tr w:rsidR="00F77588" w:rsidTr="00F77588">
        <w:tc>
          <w:tcPr>
            <w:tcW w:w="4675" w:type="dxa"/>
          </w:tcPr>
          <w:p w:rsidR="00F77588" w:rsidRDefault="00F77588" w:rsidP="00F77588"/>
        </w:tc>
        <w:tc>
          <w:tcPr>
            <w:tcW w:w="4675" w:type="dxa"/>
          </w:tcPr>
          <w:p w:rsidR="00F77588" w:rsidRDefault="00F77588" w:rsidP="00F77588"/>
        </w:tc>
      </w:tr>
      <w:tr w:rsidR="00F77588" w:rsidTr="00DE25A1">
        <w:trPr>
          <w:trHeight w:val="432"/>
        </w:trPr>
        <w:tc>
          <w:tcPr>
            <w:tcW w:w="4675" w:type="dxa"/>
            <w:vAlign w:val="center"/>
          </w:tcPr>
          <w:p w:rsidR="00F77588" w:rsidRPr="00F77588" w:rsidRDefault="00F77588" w:rsidP="00DE25A1">
            <w:r>
              <w:t>γ</w:t>
            </w:r>
            <w:r w:rsidRPr="00946848">
              <w:rPr>
                <w:vertAlign w:val="subscript"/>
              </w:rPr>
              <w:t>0</w:t>
            </w:r>
            <w:r>
              <w:rPr>
                <w:vertAlign w:val="subscript"/>
              </w:rPr>
              <w:t>1</w:t>
            </w:r>
            <w:r>
              <w:t xml:space="preserve"> = β</w:t>
            </w:r>
            <w:r w:rsidRPr="005135CE">
              <w:rPr>
                <w:vertAlign w:val="subscript"/>
              </w:rPr>
              <w:t>b</w:t>
            </w:r>
          </w:p>
        </w:tc>
        <w:tc>
          <w:tcPr>
            <w:tcW w:w="4675" w:type="dxa"/>
            <w:vAlign w:val="center"/>
          </w:tcPr>
          <w:p w:rsidR="00F77588" w:rsidRDefault="00F77588" w:rsidP="00DE25A1">
            <w:r>
              <w:t>γ</w:t>
            </w:r>
            <w:r w:rsidRPr="00946848">
              <w:rPr>
                <w:vertAlign w:val="subscript"/>
              </w:rPr>
              <w:t>0</w:t>
            </w:r>
            <w:r>
              <w:rPr>
                <w:vertAlign w:val="subscript"/>
              </w:rPr>
              <w:t>1</w:t>
            </w:r>
            <w:r>
              <w:t xml:space="preserve"> = β</w:t>
            </w:r>
            <w:r>
              <w:rPr>
                <w:vertAlign w:val="subscript"/>
              </w:rPr>
              <w:t>c</w:t>
            </w:r>
          </w:p>
        </w:tc>
      </w:tr>
      <w:tr w:rsidR="00F77588" w:rsidTr="00DE25A1">
        <w:trPr>
          <w:trHeight w:val="432"/>
        </w:trPr>
        <w:tc>
          <w:tcPr>
            <w:tcW w:w="4675" w:type="dxa"/>
            <w:vAlign w:val="center"/>
          </w:tcPr>
          <w:p w:rsidR="00F77588" w:rsidRDefault="00F77588" w:rsidP="00DE25A1">
            <w:r>
              <w:t>γ</w:t>
            </w:r>
            <w:r>
              <w:rPr>
                <w:vertAlign w:val="subscript"/>
              </w:rPr>
              <w:t>10</w:t>
            </w:r>
            <w:r>
              <w:t xml:space="preserve"> = β</w:t>
            </w:r>
            <w:r>
              <w:rPr>
                <w:vertAlign w:val="subscript"/>
              </w:rPr>
              <w:t>w</w:t>
            </w:r>
          </w:p>
        </w:tc>
        <w:tc>
          <w:tcPr>
            <w:tcW w:w="4675" w:type="dxa"/>
            <w:vAlign w:val="center"/>
          </w:tcPr>
          <w:p w:rsidR="00F77588" w:rsidRDefault="00F77588" w:rsidP="00DE25A1">
            <w:r>
              <w:t>γ</w:t>
            </w:r>
            <w:r>
              <w:rPr>
                <w:vertAlign w:val="subscript"/>
              </w:rPr>
              <w:t>10</w:t>
            </w:r>
            <w:r>
              <w:t xml:space="preserve"> = β</w:t>
            </w:r>
            <w:r>
              <w:rPr>
                <w:vertAlign w:val="subscript"/>
              </w:rPr>
              <w:t>w</w:t>
            </w:r>
          </w:p>
        </w:tc>
      </w:tr>
      <w:tr w:rsidR="00F77588" w:rsidTr="00DE25A1">
        <w:trPr>
          <w:trHeight w:val="432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F77588" w:rsidRDefault="00F77588" w:rsidP="00DE25A1">
            <w:r>
              <w:t>β</w:t>
            </w:r>
            <w:r w:rsidRPr="005135CE">
              <w:rPr>
                <w:vertAlign w:val="subscript"/>
              </w:rPr>
              <w:t>c</w:t>
            </w:r>
            <w:r>
              <w:t xml:space="preserve"> = γ</w:t>
            </w:r>
            <w:r w:rsidRPr="00946848">
              <w:rPr>
                <w:vertAlign w:val="subscript"/>
              </w:rPr>
              <w:t>0</w:t>
            </w:r>
            <w:r>
              <w:rPr>
                <w:vertAlign w:val="subscript"/>
              </w:rPr>
              <w:t>1</w:t>
            </w:r>
            <w:r>
              <w:t xml:space="preserve"> – γ</w:t>
            </w:r>
            <w:r w:rsidRPr="00946848">
              <w:rPr>
                <w:vertAlign w:val="subscript"/>
              </w:rPr>
              <w:t>10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F77588" w:rsidRDefault="00F77588" w:rsidP="00DE25A1">
            <w:r>
              <w:t>β</w:t>
            </w:r>
            <w:r w:rsidRPr="005135CE">
              <w:rPr>
                <w:vertAlign w:val="subscript"/>
              </w:rPr>
              <w:t>b</w:t>
            </w:r>
            <w:r>
              <w:t xml:space="preserve"> = γ</w:t>
            </w:r>
            <w:r w:rsidRPr="00946848">
              <w:rPr>
                <w:vertAlign w:val="subscript"/>
              </w:rPr>
              <w:t>0</w:t>
            </w:r>
            <w:r>
              <w:rPr>
                <w:vertAlign w:val="subscript"/>
              </w:rPr>
              <w:t>1</w:t>
            </w:r>
            <w:r>
              <w:t xml:space="preserve"> + γ</w:t>
            </w:r>
            <w:r w:rsidRPr="00946848">
              <w:rPr>
                <w:vertAlign w:val="subscript"/>
              </w:rPr>
              <w:t>10</w:t>
            </w:r>
          </w:p>
        </w:tc>
      </w:tr>
    </w:tbl>
    <w:p w:rsidR="00F77588" w:rsidRDefault="00F77588" w:rsidP="004D1A04"/>
    <w:p w:rsidR="00B749C4" w:rsidRDefault="00B749C4" w:rsidP="004D1A04"/>
    <w:p w:rsidR="005135CE" w:rsidRDefault="005135CE" w:rsidP="005135CE">
      <w:proofErr w:type="gramStart"/>
      <w:r>
        <w:t>It’s</w:t>
      </w:r>
      <w:proofErr w:type="gramEnd"/>
      <w:r>
        <w:t xml:space="preserve"> possible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∙j</m:t>
            </m:r>
          </m:sub>
        </m:sSub>
      </m:oMath>
      <w:r>
        <w:t xml:space="preserve"> acts as a proxy for other relevant omitted organizational variables. It might also convey part of the effect of a poorly measured </w:t>
      </w:r>
      <w:proofErr w:type="spellStart"/>
      <w:r w:rsidRPr="00B725FE">
        <w:rPr>
          <w:i/>
        </w:rPr>
        <w:t>X</w:t>
      </w:r>
      <w:r w:rsidRPr="00B725FE">
        <w:rPr>
          <w:i/>
          <w:vertAlign w:val="subscript"/>
        </w:rPr>
        <w:t>ij</w:t>
      </w:r>
      <w:proofErr w:type="spellEnd"/>
      <w:r>
        <w:t>.</w:t>
      </w:r>
    </w:p>
    <w:p w:rsidR="005135CE" w:rsidRDefault="005135CE" w:rsidP="005135CE"/>
    <w:p w:rsidR="00B749C4" w:rsidRDefault="00B749C4" w:rsidP="004D1A04"/>
    <w:p w:rsidR="00352685" w:rsidRDefault="00352685">
      <w:pPr>
        <w:rPr>
          <w:b/>
          <w:i/>
        </w:rPr>
      </w:pPr>
      <w:r>
        <w:rPr>
          <w:b/>
          <w:i/>
        </w:rPr>
        <w:br w:type="page"/>
      </w:r>
    </w:p>
    <w:p w:rsidR="00DE25A1" w:rsidRPr="00352685" w:rsidRDefault="00352685" w:rsidP="004D1A04">
      <w:pPr>
        <w:rPr>
          <w:b/>
          <w:i/>
        </w:rPr>
      </w:pPr>
      <w:r>
        <w:rPr>
          <w:b/>
          <w:i/>
        </w:rPr>
        <w:lastRenderedPageBreak/>
        <w:t xml:space="preserve">3. </w:t>
      </w:r>
      <w:r w:rsidR="00DE25A1" w:rsidRPr="00352685">
        <w:rPr>
          <w:b/>
          <w:i/>
        </w:rPr>
        <w:t>Estimating level-2 effects while adjusting for level-1 covariates</w:t>
      </w:r>
    </w:p>
    <w:p w:rsidR="00DE25A1" w:rsidRDefault="00DE25A1" w:rsidP="004D1A04"/>
    <w:p w:rsidR="00DE25A1" w:rsidRDefault="00DE25A1" w:rsidP="004D1A04">
      <w:r>
        <w:t>In such an analysis, we should establish that there is no compositional effect. In this case, group-mean centering would not be appropriate.</w:t>
      </w:r>
    </w:p>
    <w:p w:rsidR="00DE25A1" w:rsidRDefault="00DE25A1" w:rsidP="004D1A04"/>
    <w:p w:rsidR="00DE25A1" w:rsidRDefault="00DE25A1" w:rsidP="004D1A04">
      <w:r>
        <w:t xml:space="preserve">Notice that in a level-1 model with group-mean centering: </w:t>
      </w:r>
      <w:r w:rsidRPr="004F5753">
        <w:rPr>
          <w:position w:val="-14"/>
        </w:rPr>
        <w:object w:dxaOrig="2780" w:dyaOrig="420">
          <v:shape id="_x0000_i1393" type="#_x0000_t75" style="width:138.65pt;height:21.35pt" o:ole="">
            <v:imagedata r:id="rId70" o:title=""/>
          </v:shape>
          <o:OLEObject Type="Embed" ProgID="Equation.3" ShapeID="_x0000_i1393" DrawAspect="Content" ObjectID="_1569133255" r:id="rId71"/>
        </w:object>
      </w:r>
    </w:p>
    <w:p w:rsidR="00DE25A1" w:rsidRDefault="00DE25A1" w:rsidP="004D1A04">
      <w:r>
        <w:t xml:space="preserve">The influence of X disappears when we evaluate the mean for each group: </w:t>
      </w:r>
      <w:r w:rsidRPr="004F5753">
        <w:rPr>
          <w:position w:val="-14"/>
        </w:rPr>
        <w:object w:dxaOrig="1320" w:dyaOrig="420">
          <v:shape id="_x0000_i1403" type="#_x0000_t75" style="width:66.65pt;height:21.35pt" o:ole="">
            <v:imagedata r:id="rId72" o:title=""/>
          </v:shape>
          <o:OLEObject Type="Embed" ProgID="Equation.3" ShapeID="_x0000_i1403" DrawAspect="Content" ObjectID="_1569133256" r:id="rId73"/>
        </w:object>
      </w:r>
    </w:p>
    <w:p w:rsidR="00DE25A1" w:rsidRDefault="00DE25A1" w:rsidP="004D1A04">
      <w:r>
        <w:t>This results a level-2 model that is not adjusted for X</w:t>
      </w:r>
      <w:proofErr w:type="gramStart"/>
      <w:r>
        <w:t xml:space="preserve">: </w:t>
      </w:r>
      <w:proofErr w:type="gramEnd"/>
      <w:r w:rsidR="00AE0C36" w:rsidRPr="00836541">
        <w:rPr>
          <w:position w:val="-14"/>
        </w:rPr>
        <w:object w:dxaOrig="2140" w:dyaOrig="380">
          <v:shape id="_x0000_i1411" type="#_x0000_t75" style="width:106.65pt;height:20pt" o:ole="">
            <v:imagedata r:id="rId74" o:title=""/>
          </v:shape>
          <o:OLEObject Type="Embed" ProgID="Equation.3" ShapeID="_x0000_i1411" DrawAspect="Content" ObjectID="_1569133257" r:id="rId75"/>
        </w:object>
      </w:r>
      <w:r w:rsidR="00AE0C36">
        <w:t>.</w:t>
      </w:r>
    </w:p>
    <w:p w:rsidR="00AE0C36" w:rsidRDefault="00AE0C36" w:rsidP="004D1A04">
      <w:r>
        <w:t xml:space="preserve">Thus, under group-mean centering, the effect of W </w:t>
      </w:r>
      <w:proofErr w:type="gramStart"/>
      <w:r>
        <w:t>is not adjusted</w:t>
      </w:r>
      <w:proofErr w:type="gramEnd"/>
      <w:r>
        <w:t xml:space="preserve"> for X.</w:t>
      </w:r>
    </w:p>
    <w:p w:rsidR="00AE0C36" w:rsidRDefault="00AE0C36" w:rsidP="004D1A04"/>
    <w:p w:rsidR="00AE0C36" w:rsidRDefault="00AE0C36" w:rsidP="004D1A04">
      <w:r>
        <w:t xml:space="preserve">In comparison, grand-mean centering at </w:t>
      </w:r>
      <w:proofErr w:type="gramStart"/>
      <w:r>
        <w:t>level-1</w:t>
      </w:r>
      <w:proofErr w:type="gramEnd"/>
      <w:r>
        <w:t xml:space="preserve"> produces a mean estimate that is adjusted:</w:t>
      </w:r>
    </w:p>
    <w:p w:rsidR="00AE0C36" w:rsidRDefault="00AE0C36" w:rsidP="004D1A04">
      <w:r w:rsidRPr="004F5753">
        <w:rPr>
          <w:position w:val="-14"/>
        </w:rPr>
        <w:object w:dxaOrig="2820" w:dyaOrig="420">
          <v:shape id="_x0000_i1416" type="#_x0000_t75" style="width:141.35pt;height:21.35pt" o:ole="">
            <v:imagedata r:id="rId76" o:title=""/>
          </v:shape>
          <o:OLEObject Type="Embed" ProgID="Equation.3" ShapeID="_x0000_i1416" DrawAspect="Content" ObjectID="_1569133258" r:id="rId77"/>
        </w:object>
      </w:r>
      <w:r>
        <w:t xml:space="preserve"> </w:t>
      </w:r>
      <w:r>
        <w:sym w:font="Wingdings" w:char="F0E0"/>
      </w:r>
    </w:p>
    <w:p w:rsidR="00AE0C36" w:rsidRDefault="00AE0C36" w:rsidP="004D1A04">
      <w:r w:rsidRPr="004F5753">
        <w:rPr>
          <w:position w:val="-14"/>
        </w:rPr>
        <w:object w:dxaOrig="4040" w:dyaOrig="420">
          <v:shape id="_x0000_i1423" type="#_x0000_t75" style="width:202.65pt;height:21.35pt" o:ole="">
            <v:imagedata r:id="rId78" o:title=""/>
          </v:shape>
          <o:OLEObject Type="Embed" ProgID="Equation.3" ShapeID="_x0000_i1423" DrawAspect="Content" ObjectID="_1569133259" r:id="rId79"/>
        </w:object>
      </w:r>
      <w:r>
        <w:t xml:space="preserve"> </w:t>
      </w:r>
      <w:r>
        <w:sym w:font="Wingdings" w:char="F0E0"/>
      </w:r>
    </w:p>
    <w:p w:rsidR="00AE0C36" w:rsidRDefault="00AE0C36" w:rsidP="004D1A04">
      <w:r w:rsidRPr="004F5753">
        <w:rPr>
          <w:position w:val="-14"/>
        </w:rPr>
        <w:object w:dxaOrig="4500" w:dyaOrig="420">
          <v:shape id="_x0000_i1434" type="#_x0000_t75" style="width:225.35pt;height:21.35pt" o:ole="">
            <v:imagedata r:id="rId80" o:title=""/>
          </v:shape>
          <o:OLEObject Type="Embed" ProgID="Equation.3" ShapeID="_x0000_i1434" DrawAspect="Content" ObjectID="_1569133260" r:id="rId81"/>
        </w:object>
      </w:r>
      <w:r>
        <w:t xml:space="preserve"> </w:t>
      </w:r>
      <w:r>
        <w:sym w:font="Wingdings" w:char="F0E0"/>
      </w:r>
    </w:p>
    <w:p w:rsidR="00AE0C36" w:rsidRDefault="00AE0C36" w:rsidP="004D1A04">
      <w:r w:rsidRPr="004F5753">
        <w:rPr>
          <w:position w:val="-14"/>
        </w:rPr>
        <w:object w:dxaOrig="2980" w:dyaOrig="420">
          <v:shape id="_x0000_i1438" type="#_x0000_t75" style="width:149.35pt;height:21.35pt" o:ole="">
            <v:imagedata r:id="rId82" o:title=""/>
          </v:shape>
          <o:OLEObject Type="Embed" ProgID="Equation.3" ShapeID="_x0000_i1438" DrawAspect="Content" ObjectID="_1569133261" r:id="rId83"/>
        </w:object>
      </w:r>
      <w:r>
        <w:t xml:space="preserve"> </w:t>
      </w:r>
      <w:r>
        <w:sym w:font="Wingdings" w:char="F0E0"/>
      </w:r>
      <w:r>
        <w:t xml:space="preserve"> </w:t>
      </w:r>
      <w:r w:rsidRPr="004F5753">
        <w:rPr>
          <w:position w:val="-14"/>
        </w:rPr>
        <w:object w:dxaOrig="2540" w:dyaOrig="420">
          <v:shape id="_x0000_i1442" type="#_x0000_t75" style="width:126.65pt;height:21.35pt" o:ole="">
            <v:imagedata r:id="rId84" o:title=""/>
          </v:shape>
          <o:OLEObject Type="Embed" ProgID="Equation.3" ShapeID="_x0000_i1442" DrawAspect="Content" ObjectID="_1569133262" r:id="rId85"/>
        </w:object>
      </w:r>
      <w:r>
        <w:t xml:space="preserve"> </w:t>
      </w:r>
      <w:r w:rsidRPr="00836541">
        <w:rPr>
          <w:position w:val="-14"/>
        </w:rPr>
        <w:object w:dxaOrig="1820" w:dyaOrig="380">
          <v:shape id="_x0000_i1446" type="#_x0000_t75" style="width:90.65pt;height:20pt" o:ole="">
            <v:imagedata r:id="rId86" o:title=""/>
          </v:shape>
          <o:OLEObject Type="Embed" ProgID="Equation.3" ShapeID="_x0000_i1446" DrawAspect="Content" ObjectID="_1569133263" r:id="rId87"/>
        </w:object>
      </w:r>
    </w:p>
    <w:p w:rsidR="00DE25A1" w:rsidRDefault="00DE25A1" w:rsidP="004D1A04"/>
    <w:p w:rsidR="00DE25A1" w:rsidRDefault="00DE25A1" w:rsidP="004D1A04"/>
    <w:p w:rsidR="00352685" w:rsidRDefault="00352685">
      <w:pPr>
        <w:rPr>
          <w:b/>
          <w:i/>
        </w:rPr>
      </w:pPr>
      <w:r>
        <w:rPr>
          <w:b/>
          <w:i/>
        </w:rPr>
        <w:br w:type="page"/>
      </w:r>
    </w:p>
    <w:p w:rsidR="00AE0C36" w:rsidRPr="00352685" w:rsidRDefault="00352685" w:rsidP="004D1A04">
      <w:pPr>
        <w:rPr>
          <w:b/>
          <w:i/>
        </w:rPr>
      </w:pPr>
      <w:r>
        <w:rPr>
          <w:b/>
          <w:i/>
        </w:rPr>
        <w:lastRenderedPageBreak/>
        <w:t xml:space="preserve">4. </w:t>
      </w:r>
      <w:r w:rsidR="00AE0C36" w:rsidRPr="00352685">
        <w:rPr>
          <w:b/>
          <w:i/>
        </w:rPr>
        <w:t>Estimating variances of level-1 coefficients</w:t>
      </w:r>
    </w:p>
    <w:p w:rsidR="00AE0C36" w:rsidRDefault="00AE0C36" w:rsidP="004D1A04"/>
    <w:p w:rsidR="00AE0C36" w:rsidRPr="000B3DB4" w:rsidRDefault="00AE0C36" w:rsidP="004D1A04">
      <w:pPr>
        <w:rPr>
          <w:i/>
        </w:rPr>
      </w:pPr>
      <w:proofErr w:type="gramStart"/>
      <w:r>
        <w:t>τ</w:t>
      </w:r>
      <w:r w:rsidRPr="000B3DB4">
        <w:rPr>
          <w:position w:val="-6"/>
          <w:vertAlign w:val="subscript"/>
        </w:rPr>
        <w:t>11</w:t>
      </w:r>
      <w:proofErr w:type="gramEnd"/>
      <w:r w:rsidR="000B3DB4">
        <w:t xml:space="preserve"> is the variance of the level-1 coefficient </w:t>
      </w:r>
      <w:r w:rsidR="000B3DB4">
        <w:t>β</w:t>
      </w:r>
      <w:r w:rsidR="000B3DB4">
        <w:rPr>
          <w:vertAlign w:val="subscript"/>
        </w:rPr>
        <w:t>1</w:t>
      </w:r>
      <w:r w:rsidR="000B3DB4">
        <w:rPr>
          <w:i/>
          <w:vertAlign w:val="subscript"/>
        </w:rPr>
        <w:t>j</w:t>
      </w:r>
    </w:p>
    <w:p w:rsidR="00AE0C36" w:rsidRDefault="00AE0C36" w:rsidP="004D1A04"/>
    <w:p w:rsidR="000B3DB4" w:rsidRDefault="000B3DB4" w:rsidP="004D1A04">
      <w:r>
        <w:t>If every organization has the same mean of X (acknowledging sampling error and missing data), then choice of centering has no effect.</w:t>
      </w:r>
    </w:p>
    <w:p w:rsidR="000B3DB4" w:rsidRDefault="000B3DB4" w:rsidP="004D1A04"/>
    <w:p w:rsidR="000B3DB4" w:rsidRDefault="000B3DB4" w:rsidP="004D1A04">
      <w:proofErr w:type="gramStart"/>
      <w:r>
        <w:t>But</w:t>
      </w:r>
      <w:proofErr w:type="gramEnd"/>
      <w:r>
        <w:t xml:space="preserve"> in organization research, we typically find group means vary across organizations.</w:t>
      </w:r>
    </w:p>
    <w:p w:rsidR="000B3DB4" w:rsidRDefault="000B3DB4" w:rsidP="000B3DB4">
      <w:pPr>
        <w:pStyle w:val="ListParagraph"/>
        <w:numPr>
          <w:ilvl w:val="0"/>
          <w:numId w:val="5"/>
        </w:numPr>
      </w:pPr>
      <w:r>
        <w:t>Persons are usually selected or assigned to the organization, in ways that are associated with X (social class, educational level, etc.) – typically not randomly.</w:t>
      </w:r>
    </w:p>
    <w:p w:rsidR="000B3DB4" w:rsidRDefault="000B3DB4" w:rsidP="000B3DB4">
      <w:pPr>
        <w:pStyle w:val="ListParagraph"/>
        <w:numPr>
          <w:ilvl w:val="0"/>
          <w:numId w:val="5"/>
        </w:numPr>
      </w:pPr>
      <w:r>
        <w:t xml:space="preserve">Organizations might capitalize on their composition to </w:t>
      </w:r>
      <w:r w:rsidRPr="000B3DB4">
        <w:rPr>
          <w:i/>
        </w:rPr>
        <w:t>create</w:t>
      </w:r>
      <w:r>
        <w:t xml:space="preserve"> effects.</w:t>
      </w:r>
    </w:p>
    <w:p w:rsidR="00AE0C36" w:rsidRDefault="00AE0C36" w:rsidP="004D1A04"/>
    <w:p w:rsidR="000B3DB4" w:rsidRDefault="000B3DB4" w:rsidP="004D1A04">
      <w:r>
        <w:t>In this case, group-mean centering is preferred to properly estimate slope heterogeneity (variance).</w:t>
      </w:r>
    </w:p>
    <w:p w:rsidR="00DE25A1" w:rsidRDefault="00DE25A1" w:rsidP="004D1A04"/>
    <w:p w:rsidR="00541FBC" w:rsidRDefault="00541FBC" w:rsidP="00541FBC">
      <w:pPr>
        <w:pStyle w:val="ListParagraph"/>
        <w:numPr>
          <w:ilvl w:val="0"/>
          <w:numId w:val="2"/>
        </w:numPr>
      </w:pPr>
      <w:r>
        <w:t xml:space="preserve">The computation of </w:t>
      </w:r>
      <w:r>
        <w:t>τ</w:t>
      </w:r>
      <w:r>
        <w:t xml:space="preserve"> is a function of the empirical Bayes (EB) residual estimates (</w:t>
      </w:r>
      <w:r>
        <w:rPr>
          <w:i/>
        </w:rPr>
        <w:t>u</w:t>
      </w:r>
      <w:r>
        <w:t>*).</w:t>
      </w:r>
    </w:p>
    <w:p w:rsidR="00541FBC" w:rsidRDefault="00541FBC" w:rsidP="00541FBC">
      <w:pPr>
        <w:pStyle w:val="ListParagraph"/>
        <w:numPr>
          <w:ilvl w:val="0"/>
          <w:numId w:val="2"/>
        </w:numPr>
      </w:pPr>
      <w:r>
        <w:t>How we center changes the definition of these residuals.</w:t>
      </w:r>
    </w:p>
    <w:p w:rsidR="00541FBC" w:rsidRDefault="00541FBC" w:rsidP="00541FBC">
      <w:pPr>
        <w:pStyle w:val="ListParagraph"/>
        <w:numPr>
          <w:ilvl w:val="0"/>
          <w:numId w:val="2"/>
        </w:numPr>
      </w:pPr>
      <w:r>
        <w:t xml:space="preserve">In group-mean centering, OLS estimates of the intercept experience shrinkage (large when intercept reliability is low); </w:t>
      </w:r>
      <w:proofErr w:type="gramStart"/>
      <w:r>
        <w:t>however</w:t>
      </w:r>
      <w:proofErr w:type="gramEnd"/>
      <w:r>
        <w:t xml:space="preserve"> this does not affect estimation of the slope very much (unless the two are highly correlated).</w:t>
      </w:r>
    </w:p>
    <w:p w:rsidR="00541FBC" w:rsidRDefault="00541FBC" w:rsidP="00541FBC">
      <w:pPr>
        <w:pStyle w:val="ListParagraph"/>
        <w:numPr>
          <w:ilvl w:val="0"/>
          <w:numId w:val="2"/>
        </w:numPr>
      </w:pPr>
      <w:r>
        <w:t xml:space="preserve">In grand-mean centering, means are now adjusted, which can entail an extrapolation (the adjusted mean for group </w:t>
      </w:r>
      <w:r>
        <w:rPr>
          <w:i/>
        </w:rPr>
        <w:t>j</w:t>
      </w:r>
      <w:r>
        <w:t xml:space="preserve"> represents the expected outcome for an individual who is at the grand mean on X (perhaps not observed </w:t>
      </w:r>
      <w:proofErr w:type="gramStart"/>
      <w:r>
        <w:t>in group</w:t>
      </w:r>
      <w:proofErr w:type="gramEnd"/>
      <w:r>
        <w:t xml:space="preserve"> </w:t>
      </w:r>
      <w:r>
        <w:rPr>
          <w:i/>
        </w:rPr>
        <w:t>j</w:t>
      </w:r>
      <w:r>
        <w:t>). Such adjusted means are less reliably measured.</w:t>
      </w:r>
      <w:r w:rsidR="00680309">
        <w:t xml:space="preserve"> This causes </w:t>
      </w:r>
      <w:proofErr w:type="gramStart"/>
      <w:r w:rsidR="00680309">
        <w:t>more extensive shrinkage toward the grand mean Y, which produces greater homogenization in slopes</w:t>
      </w:r>
      <w:proofErr w:type="gramEnd"/>
      <w:r w:rsidR="00680309">
        <w:t xml:space="preserve">. This results in underestimation of </w:t>
      </w:r>
      <w:r w:rsidR="00680309">
        <w:t>τ</w:t>
      </w:r>
      <w:r w:rsidR="00680309">
        <w:t>.</w:t>
      </w:r>
    </w:p>
    <w:p w:rsidR="00680309" w:rsidRDefault="00680309" w:rsidP="00541FBC">
      <w:pPr>
        <w:pStyle w:val="ListParagraph"/>
        <w:numPr>
          <w:ilvl w:val="0"/>
          <w:numId w:val="2"/>
        </w:numPr>
      </w:pPr>
      <w:r>
        <w:t>Generally, EB slope estimates are less credible under grand-mean centering.</w:t>
      </w:r>
    </w:p>
    <w:p w:rsidR="00541FBC" w:rsidRDefault="00541FBC" w:rsidP="00541FBC"/>
    <w:p w:rsidR="00680309" w:rsidRDefault="00680309">
      <w:r>
        <w:br w:type="page"/>
      </w:r>
    </w:p>
    <w:p w:rsidR="00541FBC" w:rsidRDefault="00680309" w:rsidP="00541FBC">
      <w:r w:rsidRPr="00680309">
        <w:rPr>
          <w:noProof/>
        </w:rPr>
        <w:lastRenderedPageBreak/>
        <w:drawing>
          <wp:inline distT="0" distB="0" distL="0" distR="0">
            <wp:extent cx="4268923" cy="38404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923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FBC" w:rsidRDefault="00541FBC" w:rsidP="00541FBC"/>
    <w:p w:rsidR="00680309" w:rsidRDefault="00680309" w:rsidP="00541FBC">
      <w:r w:rsidRPr="00680309">
        <w:rPr>
          <w:noProof/>
        </w:rPr>
        <w:drawing>
          <wp:inline distT="0" distB="0" distL="0" distR="0">
            <wp:extent cx="4324207" cy="3840480"/>
            <wp:effectExtent l="0" t="0" r="635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207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85" w:rsidRDefault="00352685" w:rsidP="00541FBC"/>
    <w:p w:rsidR="00352685" w:rsidRDefault="00352685">
      <w:pPr>
        <w:rPr>
          <w:b/>
          <w:i/>
        </w:rPr>
      </w:pPr>
      <w:r>
        <w:rPr>
          <w:b/>
          <w:i/>
        </w:rPr>
        <w:br w:type="page"/>
      </w:r>
    </w:p>
    <w:p w:rsidR="00680309" w:rsidRPr="00352685" w:rsidRDefault="00352685" w:rsidP="00541FBC">
      <w:pPr>
        <w:rPr>
          <w:b/>
          <w:i/>
        </w:rPr>
      </w:pPr>
      <w:r>
        <w:rPr>
          <w:b/>
          <w:i/>
        </w:rPr>
        <w:lastRenderedPageBreak/>
        <w:t xml:space="preserve">5. </w:t>
      </w:r>
      <w:r w:rsidR="005E77AB" w:rsidRPr="00352685">
        <w:rPr>
          <w:b/>
          <w:i/>
        </w:rPr>
        <w:t>Estimating random level-1 coefficients</w:t>
      </w:r>
    </w:p>
    <w:p w:rsidR="005E77AB" w:rsidRDefault="005E77AB" w:rsidP="00541FBC"/>
    <w:p w:rsidR="005E77AB" w:rsidRDefault="005E77AB" w:rsidP="00541FBC">
      <w:r>
        <w:t>As EB estimation may distort variance estimates, there is a similar concern in estimating unit-specific regressions.</w:t>
      </w:r>
    </w:p>
    <w:p w:rsidR="005E77AB" w:rsidRDefault="005E77AB" w:rsidP="00541FBC"/>
    <w:p w:rsidR="005E77AB" w:rsidRDefault="005E77AB" w:rsidP="005E77AB">
      <w:pPr>
        <w:pStyle w:val="ListParagraph"/>
        <w:numPr>
          <w:ilvl w:val="0"/>
          <w:numId w:val="2"/>
        </w:numPr>
      </w:pPr>
      <w:r>
        <w:t xml:space="preserve">If the level-1 sample size is large for group </w:t>
      </w:r>
      <w:r>
        <w:rPr>
          <w:i/>
        </w:rPr>
        <w:t>j</w:t>
      </w:r>
      <w:r>
        <w:t>, OLS and EB estimates converge and this is not dependent on centering method.</w:t>
      </w:r>
    </w:p>
    <w:p w:rsidR="005E77AB" w:rsidRDefault="005E77AB" w:rsidP="005E77AB">
      <w:pPr>
        <w:pStyle w:val="ListParagraph"/>
        <w:numPr>
          <w:ilvl w:val="0"/>
          <w:numId w:val="2"/>
        </w:numPr>
      </w:pPr>
      <w:r>
        <w:t>If level-2 sample size is small or moderate, EB estimates tend to be more stable with smaller error than the OLS estimates.</w:t>
      </w:r>
    </w:p>
    <w:p w:rsidR="005E77AB" w:rsidRDefault="005E77AB" w:rsidP="005E77AB">
      <w:pPr>
        <w:pStyle w:val="ListParagraph"/>
        <w:numPr>
          <w:ilvl w:val="1"/>
          <w:numId w:val="2"/>
        </w:numPr>
      </w:pPr>
      <w:r>
        <w:t xml:space="preserve">If group means of X are invariant across groups, or </w:t>
      </w:r>
      <w:proofErr w:type="gramStart"/>
      <w:r>
        <w:t>it’s</w:t>
      </w:r>
      <w:proofErr w:type="gramEnd"/>
      <w:r>
        <w:t xml:space="preserve"> variance is ignorable, group-mean and grand-mean centering should produce similar results (grand-mean centering may add a little more precision).</w:t>
      </w:r>
    </w:p>
    <w:p w:rsidR="005E77AB" w:rsidRDefault="005E77AB" w:rsidP="005E77AB">
      <w:pPr>
        <w:pStyle w:val="ListParagraph"/>
        <w:numPr>
          <w:ilvl w:val="1"/>
          <w:numId w:val="2"/>
        </w:numPr>
      </w:pPr>
      <w:r>
        <w:t xml:space="preserve">If the group means of X vary substantially, group-mean centering will produce </w:t>
      </w:r>
      <w:proofErr w:type="gramStart"/>
      <w:r>
        <w:t>more robust estimates</w:t>
      </w:r>
      <w:proofErr w:type="gramEnd"/>
      <w:r>
        <w:t>.</w:t>
      </w:r>
    </w:p>
    <w:p w:rsidR="005E77AB" w:rsidRDefault="005E77AB" w:rsidP="00541FBC"/>
    <w:p w:rsidR="005E77AB" w:rsidRPr="004D1A04" w:rsidRDefault="005E77AB" w:rsidP="00541FBC">
      <w:bookmarkStart w:id="0" w:name="_GoBack"/>
      <w:bookmarkEnd w:id="0"/>
    </w:p>
    <w:sectPr w:rsidR="005E77AB" w:rsidRPr="004D1A04">
      <w:footerReference w:type="default" r:id="rId9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C9" w:rsidRDefault="00A019C9" w:rsidP="00305F32">
      <w:r>
        <w:separator/>
      </w:r>
    </w:p>
  </w:endnote>
  <w:endnote w:type="continuationSeparator" w:id="0">
    <w:p w:rsidR="00A019C9" w:rsidRDefault="00A019C9" w:rsidP="0030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16686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05F32" w:rsidRPr="00305F32" w:rsidRDefault="00305F32" w:rsidP="00305F32">
        <w:pPr>
          <w:pStyle w:val="Footer"/>
          <w:jc w:val="right"/>
          <w:rPr>
            <w:sz w:val="20"/>
            <w:szCs w:val="20"/>
          </w:rPr>
        </w:pPr>
        <w:r w:rsidRPr="00305F32">
          <w:rPr>
            <w:sz w:val="20"/>
            <w:szCs w:val="20"/>
          </w:rPr>
          <w:fldChar w:fldCharType="begin"/>
        </w:r>
        <w:r w:rsidRPr="00305F32">
          <w:rPr>
            <w:sz w:val="20"/>
            <w:szCs w:val="20"/>
          </w:rPr>
          <w:instrText xml:space="preserve"> PAGE   \* MERGEFORMAT </w:instrText>
        </w:r>
        <w:r w:rsidRPr="00305F3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10</w:t>
        </w:r>
        <w:r w:rsidRPr="00305F32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C9" w:rsidRDefault="00A019C9" w:rsidP="00305F32">
      <w:r>
        <w:separator/>
      </w:r>
    </w:p>
  </w:footnote>
  <w:footnote w:type="continuationSeparator" w:id="0">
    <w:p w:rsidR="00A019C9" w:rsidRDefault="00A019C9" w:rsidP="0030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708F"/>
    <w:multiLevelType w:val="hybridMultilevel"/>
    <w:tmpl w:val="5C8E4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59E"/>
    <w:multiLevelType w:val="hybridMultilevel"/>
    <w:tmpl w:val="39AE4C3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F35"/>
    <w:multiLevelType w:val="hybridMultilevel"/>
    <w:tmpl w:val="2BE41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592F"/>
    <w:multiLevelType w:val="hybridMultilevel"/>
    <w:tmpl w:val="AF4EC09A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C29"/>
    <w:multiLevelType w:val="hybridMultilevel"/>
    <w:tmpl w:val="9146C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CE"/>
    <w:rsid w:val="00015B8A"/>
    <w:rsid w:val="00041F57"/>
    <w:rsid w:val="000B3DB4"/>
    <w:rsid w:val="0013606F"/>
    <w:rsid w:val="001E3F55"/>
    <w:rsid w:val="00257382"/>
    <w:rsid w:val="002679EF"/>
    <w:rsid w:val="002E6B0B"/>
    <w:rsid w:val="00305F32"/>
    <w:rsid w:val="00352685"/>
    <w:rsid w:val="003669B3"/>
    <w:rsid w:val="0038095C"/>
    <w:rsid w:val="003D0E78"/>
    <w:rsid w:val="004221FD"/>
    <w:rsid w:val="004B57FE"/>
    <w:rsid w:val="004D1A04"/>
    <w:rsid w:val="005135CE"/>
    <w:rsid w:val="00541FBC"/>
    <w:rsid w:val="00574C6A"/>
    <w:rsid w:val="005E77AB"/>
    <w:rsid w:val="00606182"/>
    <w:rsid w:val="00680309"/>
    <w:rsid w:val="006C7028"/>
    <w:rsid w:val="0074679F"/>
    <w:rsid w:val="00755780"/>
    <w:rsid w:val="00836541"/>
    <w:rsid w:val="008474CE"/>
    <w:rsid w:val="00905959"/>
    <w:rsid w:val="009210F6"/>
    <w:rsid w:val="0092536F"/>
    <w:rsid w:val="00946848"/>
    <w:rsid w:val="00965F13"/>
    <w:rsid w:val="00976869"/>
    <w:rsid w:val="009C1EF5"/>
    <w:rsid w:val="009D5C6C"/>
    <w:rsid w:val="00A019C9"/>
    <w:rsid w:val="00AE0C36"/>
    <w:rsid w:val="00B725FE"/>
    <w:rsid w:val="00B749C4"/>
    <w:rsid w:val="00DE25A1"/>
    <w:rsid w:val="00DF1B08"/>
    <w:rsid w:val="00F77588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507C"/>
  <w15:chartTrackingRefBased/>
  <w15:docId w15:val="{7419568F-B266-4110-9604-357CCF3E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CE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A04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4D1A04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semiHidden/>
    <w:rsid w:val="004D1A04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92536F"/>
    <w:rPr>
      <w:color w:val="808080"/>
    </w:rPr>
  </w:style>
  <w:style w:type="table" w:styleId="TableGrid">
    <w:name w:val="Table Grid"/>
    <w:basedOn w:val="TableNormal"/>
    <w:uiPriority w:val="39"/>
    <w:rsid w:val="0057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F3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05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F3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image" Target="media/image43.e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e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e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A1"/>
    <w:rsid w:val="00D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A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2017-10-10T14:27:00Z</dcterms:created>
  <dcterms:modified xsi:type="dcterms:W3CDTF">2017-10-10T14:27:00Z</dcterms:modified>
</cp:coreProperties>
</file>