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6" w:rsidRDefault="00726DED" w:rsidP="00726DED">
      <w:pPr>
        <w:pStyle w:val="Heading1"/>
        <w:pBdr>
          <w:top w:val="single" w:sz="4" w:space="1" w:color="auto"/>
        </w:pBdr>
        <w:rPr>
          <w:sz w:val="24"/>
        </w:rPr>
      </w:pPr>
      <w:r w:rsidRPr="00726DED">
        <w:rPr>
          <w:b/>
          <w:sz w:val="24"/>
        </w:rPr>
        <w:t xml:space="preserve">6. </w:t>
      </w:r>
      <w:r w:rsidR="001E16AE" w:rsidRPr="00726DED">
        <w:rPr>
          <w:b/>
          <w:sz w:val="24"/>
        </w:rPr>
        <w:t>The Study of Individual Change</w:t>
      </w:r>
      <w:r>
        <w:rPr>
          <w:sz w:val="24"/>
        </w:rPr>
        <w:tab/>
        <w:t>EPSY 8268</w:t>
      </w:r>
    </w:p>
    <w:p w:rsidR="00467956" w:rsidRDefault="00467956">
      <w:pPr>
        <w:tabs>
          <w:tab w:val="right" w:pos="9360"/>
        </w:tabs>
      </w:pPr>
    </w:p>
    <w:p w:rsidR="001E16AE" w:rsidRDefault="001E16AE">
      <w:pPr>
        <w:tabs>
          <w:tab w:val="right" w:pos="9360"/>
        </w:tabs>
      </w:pPr>
    </w:p>
    <w:p w:rsidR="00726DED" w:rsidRDefault="00726DED">
      <w:pPr>
        <w:tabs>
          <w:tab w:val="right" w:pos="9360"/>
        </w:tabs>
      </w:pPr>
      <w:r>
        <w:t xml:space="preserve">Individual change </w:t>
      </w:r>
      <w:proofErr w:type="gramStart"/>
      <w:r>
        <w:t>can be modeled</w:t>
      </w:r>
      <w:proofErr w:type="gramEnd"/>
      <w:r>
        <w:t xml:space="preserve"> across repeated measures </w:t>
      </w:r>
      <w:r w:rsidRPr="00726DED">
        <w:rPr>
          <w:i/>
        </w:rPr>
        <w:t>Y</w:t>
      </w:r>
      <w:r w:rsidRPr="00726DED">
        <w:rPr>
          <w:i/>
          <w:vertAlign w:val="subscript"/>
        </w:rPr>
        <w:t>ti</w:t>
      </w:r>
      <w:r>
        <w:t xml:space="preserve">, based on the observed status on Y at time </w:t>
      </w:r>
      <w:r w:rsidRPr="00726DED">
        <w:rPr>
          <w:i/>
        </w:rPr>
        <w:t>t</w:t>
      </w:r>
      <w:r>
        <w:t xml:space="preserve"> </w:t>
      </w:r>
      <w:r w:rsidRPr="00726DED">
        <w:t>for</w:t>
      </w:r>
      <w:r>
        <w:t xml:space="preserve"> individual </w:t>
      </w:r>
      <w:proofErr w:type="spellStart"/>
      <w:r w:rsidRPr="00726DED">
        <w:rPr>
          <w:i/>
        </w:rPr>
        <w:t>i</w:t>
      </w:r>
      <w:proofErr w:type="spellEnd"/>
      <w:r>
        <w:t xml:space="preserve">, as a function of a systematic growth curve plus random error. </w:t>
      </w:r>
      <w:proofErr w:type="gramStart"/>
      <w:r>
        <w:t>Typically</w:t>
      </w:r>
      <w:proofErr w:type="gramEnd"/>
      <w:r>
        <w:t xml:space="preserve"> curves can be represented as a polynomial of degree </w:t>
      </w:r>
      <w:r>
        <w:rPr>
          <w:i/>
        </w:rPr>
        <w:t>P</w:t>
      </w:r>
      <w:r>
        <w:t>.</w:t>
      </w:r>
    </w:p>
    <w:p w:rsidR="00726DED" w:rsidRDefault="00726DED">
      <w:pPr>
        <w:tabs>
          <w:tab w:val="right" w:pos="9360"/>
        </w:tabs>
      </w:pPr>
    </w:p>
    <w:p w:rsidR="00726DED" w:rsidRDefault="00726DED" w:rsidP="00CB51E7">
      <w:pPr>
        <w:ind w:firstLine="720"/>
      </w:pPr>
      <w:r w:rsidRPr="00467956">
        <w:rPr>
          <w:i/>
        </w:rPr>
        <w:t>Y</w:t>
      </w:r>
      <w:r w:rsidRPr="00467956">
        <w:rPr>
          <w:i/>
          <w:vertAlign w:val="subscript"/>
        </w:rPr>
        <w:t>ti</w:t>
      </w:r>
      <w:r w:rsidRPr="00FF489F">
        <w:t xml:space="preserve"> = π</w:t>
      </w:r>
      <w:r w:rsidRPr="00467956">
        <w:rPr>
          <w:vertAlign w:val="subscript"/>
        </w:rPr>
        <w:t>0</w:t>
      </w:r>
      <w:r>
        <w:rPr>
          <w:i/>
          <w:vertAlign w:val="subscript"/>
        </w:rPr>
        <w:t>i</w:t>
      </w:r>
      <w:r w:rsidRPr="00FF489F">
        <w:t xml:space="preserve"> + π</w:t>
      </w:r>
      <w:r w:rsidRPr="00467956">
        <w:rPr>
          <w:vertAlign w:val="subscript"/>
        </w:rPr>
        <w:t>1</w:t>
      </w:r>
      <w:r w:rsidRPr="00467956">
        <w:rPr>
          <w:i/>
          <w:vertAlign w:val="subscript"/>
        </w:rPr>
        <w:t>i</w:t>
      </w:r>
      <w:r>
        <w:rPr>
          <w:i/>
        </w:rPr>
        <w:t>a</w:t>
      </w:r>
      <w:r>
        <w:rPr>
          <w:i/>
          <w:vertAlign w:val="subscript"/>
        </w:rPr>
        <w:t>ti</w:t>
      </w:r>
      <w:r w:rsidRPr="00FF489F">
        <w:t xml:space="preserve"> + </w:t>
      </w:r>
      <w:r w:rsidRPr="00CB51E7">
        <w:t>π</w:t>
      </w:r>
      <w:r w:rsidR="00CB51E7">
        <w:rPr>
          <w:vertAlign w:val="subscript"/>
        </w:rPr>
        <w:t>2</w:t>
      </w:r>
      <w:r w:rsidRPr="00CB51E7">
        <w:rPr>
          <w:i/>
          <w:vertAlign w:val="subscript"/>
        </w:rPr>
        <w:t>i</w:t>
      </w:r>
      <w:r w:rsidRPr="00CB51E7">
        <w:rPr>
          <w:i/>
        </w:rPr>
        <w:t>a</w:t>
      </w:r>
      <w:r w:rsidR="00CB51E7" w:rsidRPr="00CB51E7">
        <w:rPr>
          <w:vertAlign w:val="superscript"/>
        </w:rPr>
        <w:t>2</w:t>
      </w:r>
      <w:r w:rsidRPr="00CB51E7">
        <w:rPr>
          <w:i/>
          <w:vertAlign w:val="subscript"/>
        </w:rPr>
        <w:t>ti</w:t>
      </w:r>
      <w:r w:rsidRPr="00FF489F">
        <w:t xml:space="preserve"> +</w:t>
      </w:r>
      <w:r>
        <w:t xml:space="preserve"> </w:t>
      </w:r>
      <w:r w:rsidRPr="00726DED">
        <w:rPr>
          <w:position w:val="6"/>
        </w:rPr>
        <w:t>…</w:t>
      </w:r>
      <w:r>
        <w:t xml:space="preserve"> +</w:t>
      </w:r>
      <w:r w:rsidRPr="00FF489F">
        <w:t xml:space="preserve"> </w:t>
      </w:r>
      <w:r w:rsidRPr="00CB51E7">
        <w:rPr>
          <w:i/>
        </w:rPr>
        <w:t>π</w:t>
      </w:r>
      <w:r w:rsidR="00CB51E7">
        <w:rPr>
          <w:i/>
          <w:vertAlign w:val="subscript"/>
        </w:rPr>
        <w:t>P</w:t>
      </w:r>
      <w:r w:rsidRPr="00CB51E7">
        <w:rPr>
          <w:i/>
          <w:vertAlign w:val="subscript"/>
        </w:rPr>
        <w:t>i</w:t>
      </w:r>
      <w:r w:rsidRPr="00CB51E7">
        <w:rPr>
          <w:i/>
        </w:rPr>
        <w:t>a</w:t>
      </w:r>
      <w:r w:rsidR="00CB51E7" w:rsidRPr="00CB51E7">
        <w:rPr>
          <w:i/>
          <w:vertAlign w:val="superscript"/>
        </w:rPr>
        <w:t>P</w:t>
      </w:r>
      <w:r w:rsidRPr="00CB51E7">
        <w:rPr>
          <w:i/>
          <w:vertAlign w:val="subscript"/>
        </w:rPr>
        <w:t>ti</w:t>
      </w:r>
      <w:r w:rsidRPr="00FF489F">
        <w:t xml:space="preserve"> + </w:t>
      </w:r>
      <w:r w:rsidRPr="00467956">
        <w:rPr>
          <w:i/>
        </w:rPr>
        <w:t>e</w:t>
      </w:r>
      <w:r w:rsidRPr="00467956">
        <w:rPr>
          <w:i/>
          <w:vertAlign w:val="subscript"/>
        </w:rPr>
        <w:t>ti</w:t>
      </w:r>
    </w:p>
    <w:p w:rsidR="00726DED" w:rsidRPr="00726DED" w:rsidRDefault="00726DED">
      <w:pPr>
        <w:tabs>
          <w:tab w:val="right" w:pos="9360"/>
        </w:tabs>
      </w:pPr>
    </w:p>
    <w:p w:rsidR="001E16AE" w:rsidRPr="00A257DA" w:rsidRDefault="001E16AE" w:rsidP="00A257DA">
      <w:pPr>
        <w:tabs>
          <w:tab w:val="right" w:pos="9360"/>
        </w:tabs>
      </w:pPr>
      <w:r>
        <w:t xml:space="preserve">The </w:t>
      </w:r>
      <w:r w:rsidR="00CB51E7">
        <w:t xml:space="preserve">outcome </w:t>
      </w:r>
      <w:r>
        <w:t xml:space="preserve">score </w:t>
      </w:r>
      <w:r w:rsidRPr="00467956">
        <w:rPr>
          <w:i/>
        </w:rPr>
        <w:t>Y</w:t>
      </w:r>
      <w:r w:rsidRPr="00467956">
        <w:rPr>
          <w:i/>
          <w:vertAlign w:val="subscript"/>
        </w:rPr>
        <w:t>ti</w:t>
      </w:r>
      <w:r>
        <w:t xml:space="preserve"> is measured at time </w:t>
      </w:r>
      <w:r w:rsidRPr="00467956">
        <w:rPr>
          <w:i/>
        </w:rPr>
        <w:t>t</w:t>
      </w:r>
      <w:r>
        <w:t xml:space="preserve"> for student </w:t>
      </w:r>
      <w:proofErr w:type="spellStart"/>
      <w:r w:rsidRPr="00467956">
        <w:rPr>
          <w:i/>
        </w:rPr>
        <w:t>i</w:t>
      </w:r>
      <w:proofErr w:type="spellEnd"/>
      <w:r>
        <w:t xml:space="preserve"> </w:t>
      </w:r>
      <w:r w:rsidR="00CB51E7">
        <w:t xml:space="preserve">(for </w:t>
      </w:r>
      <w:proofErr w:type="spellStart"/>
      <w:r w:rsidR="00CB51E7" w:rsidRPr="00CB51E7">
        <w:rPr>
          <w:i/>
        </w:rPr>
        <w:t>i</w:t>
      </w:r>
      <w:proofErr w:type="spellEnd"/>
      <w:r w:rsidR="00CB51E7">
        <w:t xml:space="preserve"> from 1 to </w:t>
      </w:r>
      <w:r w:rsidR="00CB51E7" w:rsidRPr="00CB51E7">
        <w:rPr>
          <w:i/>
        </w:rPr>
        <w:t>n</w:t>
      </w:r>
      <w:r w:rsidR="00CB51E7">
        <w:t xml:space="preserve">), and </w:t>
      </w:r>
      <w:proofErr w:type="spellStart"/>
      <w:r w:rsidR="00CB51E7">
        <w:rPr>
          <w:i/>
        </w:rPr>
        <w:t>a</w:t>
      </w:r>
      <w:r w:rsidR="00CB51E7">
        <w:rPr>
          <w:i/>
          <w:vertAlign w:val="subscript"/>
        </w:rPr>
        <w:t>ti</w:t>
      </w:r>
      <w:proofErr w:type="spellEnd"/>
      <w:r w:rsidR="00CB51E7" w:rsidRPr="00FF489F">
        <w:t xml:space="preserve"> </w:t>
      </w:r>
      <w:r w:rsidR="00CB51E7">
        <w:t xml:space="preserve">is the age at time </w:t>
      </w:r>
      <w:r w:rsidR="00CB51E7">
        <w:rPr>
          <w:i/>
        </w:rPr>
        <w:t>t</w:t>
      </w:r>
      <w:r w:rsidR="00CB51E7">
        <w:t xml:space="preserve"> for person </w:t>
      </w:r>
      <w:proofErr w:type="spellStart"/>
      <w:r w:rsidR="00CB51E7">
        <w:rPr>
          <w:i/>
        </w:rPr>
        <w:t>i</w:t>
      </w:r>
      <w:proofErr w:type="spellEnd"/>
      <w:r w:rsidR="00CB51E7">
        <w:t xml:space="preserve"> and </w:t>
      </w:r>
      <w:r w:rsidR="00CB51E7" w:rsidRPr="00CB51E7">
        <w:rPr>
          <w:i/>
        </w:rPr>
        <w:t>π</w:t>
      </w:r>
      <w:r w:rsidR="00CB51E7">
        <w:rPr>
          <w:i/>
          <w:vertAlign w:val="subscript"/>
        </w:rPr>
        <w:t>P</w:t>
      </w:r>
      <w:r w:rsidR="00CB51E7" w:rsidRPr="00CB51E7">
        <w:rPr>
          <w:i/>
          <w:vertAlign w:val="subscript"/>
        </w:rPr>
        <w:t>i</w:t>
      </w:r>
      <w:r w:rsidR="00CB51E7">
        <w:t xml:space="preserve"> is the growth trajectory parameter </w:t>
      </w:r>
      <w:r w:rsidR="00CB51E7">
        <w:rPr>
          <w:i/>
        </w:rPr>
        <w:t>p</w:t>
      </w:r>
      <w:r w:rsidR="00CB51E7">
        <w:t xml:space="preserve"> with the polynomial degree </w:t>
      </w:r>
      <w:r w:rsidR="00CB51E7">
        <w:rPr>
          <w:i/>
        </w:rPr>
        <w:t>P</w:t>
      </w:r>
      <w:r w:rsidR="00CB51E7">
        <w:t xml:space="preserve"> (for </w:t>
      </w:r>
      <w:r w:rsidR="00CB51E7">
        <w:rPr>
          <w:i/>
        </w:rPr>
        <w:t>p</w:t>
      </w:r>
      <w:r w:rsidR="00CB51E7">
        <w:t xml:space="preserve"> = 0</w:t>
      </w:r>
      <w:proofErr w:type="gramStart"/>
      <w:r w:rsidR="00CB51E7">
        <w:t>, …,</w:t>
      </w:r>
      <w:proofErr w:type="gramEnd"/>
      <w:r w:rsidR="00CB51E7">
        <w:t xml:space="preserve"> </w:t>
      </w:r>
      <w:r w:rsidR="00CB51E7">
        <w:rPr>
          <w:i/>
        </w:rPr>
        <w:t>P</w:t>
      </w:r>
      <w:r w:rsidR="00CB51E7">
        <w:t>)</w:t>
      </w:r>
      <w:r>
        <w:t xml:space="preserve">. </w:t>
      </w:r>
      <w:r w:rsidR="00A257DA">
        <w:t xml:space="preserve">Carefully consider the centering of </w:t>
      </w:r>
      <w:proofErr w:type="gramStart"/>
      <w:r w:rsidR="00A257DA">
        <w:rPr>
          <w:i/>
        </w:rPr>
        <w:t>a</w:t>
      </w:r>
      <w:proofErr w:type="gramEnd"/>
      <w:r w:rsidR="00A257DA">
        <w:t xml:space="preserve"> in order to provide clear interpretation of </w:t>
      </w:r>
      <w:r w:rsidR="00A257DA" w:rsidRPr="00FF489F">
        <w:t>π</w:t>
      </w:r>
      <w:r w:rsidR="00A257DA" w:rsidRPr="00467956">
        <w:rPr>
          <w:vertAlign w:val="subscript"/>
        </w:rPr>
        <w:t>0</w:t>
      </w:r>
      <w:r w:rsidR="00A257DA">
        <w:rPr>
          <w:i/>
          <w:vertAlign w:val="subscript"/>
        </w:rPr>
        <w:t>i</w:t>
      </w:r>
      <w:r w:rsidR="00A257DA">
        <w:t>.</w:t>
      </w:r>
    </w:p>
    <w:p w:rsidR="00CB51E7" w:rsidRDefault="00CB51E7" w:rsidP="00CB51E7">
      <w:pPr>
        <w:tabs>
          <w:tab w:val="right" w:pos="9360"/>
        </w:tabs>
      </w:pPr>
    </w:p>
    <w:p w:rsidR="00A7552F" w:rsidRDefault="00CB51E7" w:rsidP="00CB51E7">
      <w:r>
        <w:t xml:space="preserve">In some instances, a simple error structure can be assumed for </w:t>
      </w:r>
      <w:proofErr w:type="gramStart"/>
      <w:r w:rsidRPr="00467956">
        <w:rPr>
          <w:i/>
        </w:rPr>
        <w:t>e</w:t>
      </w:r>
      <w:r w:rsidRPr="00467956">
        <w:rPr>
          <w:i/>
          <w:vertAlign w:val="subscript"/>
        </w:rPr>
        <w:t>ti</w:t>
      </w:r>
      <w:r>
        <w:t xml:space="preserve"> ,</w:t>
      </w:r>
      <w:proofErr w:type="gramEnd"/>
      <w:r>
        <w:t xml:space="preserve"> </w:t>
      </w:r>
      <w:r w:rsidR="001E16AE" w:rsidRPr="00FF489F">
        <w:t xml:space="preserve">where </w:t>
      </w:r>
      <w:r w:rsidR="001E16AE" w:rsidRPr="00467956">
        <w:rPr>
          <w:i/>
          <w:iCs/>
        </w:rPr>
        <w:t>e</w:t>
      </w:r>
      <w:r>
        <w:rPr>
          <w:i/>
          <w:iCs/>
          <w:vertAlign w:val="subscript"/>
        </w:rPr>
        <w:t>ti</w:t>
      </w:r>
      <w:r w:rsidR="001E16AE" w:rsidRPr="00FF489F">
        <w:t xml:space="preserve"> ~ N(0, </w:t>
      </w:r>
      <w:r w:rsidR="001E16AE" w:rsidRPr="00467956">
        <w:rPr>
          <w:iCs/>
        </w:rPr>
        <w:sym w:font="Symbol" w:char="F073"/>
      </w:r>
      <w:r w:rsidR="001E16AE" w:rsidRPr="00467956">
        <w:rPr>
          <w:vertAlign w:val="superscript"/>
        </w:rPr>
        <w:t>2</w:t>
      </w:r>
      <w:r w:rsidR="001E16AE" w:rsidRPr="00FF489F">
        <w:t>)</w:t>
      </w:r>
      <w:r>
        <w:t xml:space="preserve">. In other situations, a more complex error structure </w:t>
      </w:r>
      <w:proofErr w:type="gramStart"/>
      <w:r>
        <w:t>must be employed</w:t>
      </w:r>
      <w:proofErr w:type="gramEnd"/>
      <w:r>
        <w:t>.</w:t>
      </w:r>
    </w:p>
    <w:p w:rsidR="001E16AE" w:rsidRDefault="001E16AE" w:rsidP="001E16AE">
      <w:pPr>
        <w:tabs>
          <w:tab w:val="right" w:pos="9360"/>
        </w:tabs>
      </w:pPr>
    </w:p>
    <w:p w:rsidR="00A257DA" w:rsidRDefault="00CB51E7" w:rsidP="001E16AE">
      <w:pPr>
        <w:tabs>
          <w:tab w:val="right" w:pos="9360"/>
        </w:tabs>
      </w:pPr>
      <w:r>
        <w:t xml:space="preserve">The level-2 model is at the level of the student </w:t>
      </w:r>
      <w:proofErr w:type="spellStart"/>
      <w:r w:rsidR="001E16AE" w:rsidRPr="00467956">
        <w:rPr>
          <w:i/>
        </w:rPr>
        <w:t>i</w:t>
      </w:r>
      <w:proofErr w:type="spellEnd"/>
      <w:r w:rsidR="001E16AE">
        <w:t>.</w:t>
      </w:r>
      <w:r w:rsidR="001E16AE" w:rsidRPr="001E16AE">
        <w:t xml:space="preserve"> </w:t>
      </w:r>
    </w:p>
    <w:p w:rsidR="00A257DA" w:rsidRDefault="00A257DA" w:rsidP="001E16AE">
      <w:pPr>
        <w:tabs>
          <w:tab w:val="right" w:pos="9360"/>
        </w:tabs>
      </w:pPr>
    </w:p>
    <w:p w:rsidR="00A257DA" w:rsidRPr="00A257DA" w:rsidRDefault="00E32960" w:rsidP="00A257DA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=β</m:t>
              </m:r>
            </m:e>
            <m:sub>
              <m:r>
                <w:rPr>
                  <w:rFonts w:ascii="Cambria Math" w:hAnsi="Cambria Math"/>
                </w:rPr>
                <m:t>p0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q=1</m:t>
              </m:r>
            </m:sub>
            <m:sup>
              <m:r>
                <w:rPr>
                  <w:rFonts w:ascii="Cambria Math" w:hAnsi="Cambria Math"/>
                </w:rPr>
                <m:t>Qp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pq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qi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pi</m:t>
              </m:r>
            </m:sub>
          </m:sSub>
        </m:oMath>
      </m:oMathPara>
    </w:p>
    <w:p w:rsidR="00A257DA" w:rsidRDefault="00A257DA" w:rsidP="00A257DA"/>
    <w:p w:rsidR="001E16AE" w:rsidRDefault="00A257DA" w:rsidP="00A257DA">
      <w:r>
        <w:tab/>
      </w:r>
      <w:proofErr w:type="gramStart"/>
      <w:r w:rsidR="001E16AE" w:rsidRPr="00FF489F">
        <w:t>where</w:t>
      </w:r>
      <w:proofErr w:type="gramEnd"/>
      <w:r w:rsidR="001E16AE" w:rsidRPr="00FF489F">
        <w:t xml:space="preserve"> </w:t>
      </w:r>
      <w:proofErr w:type="spellStart"/>
      <w:r w:rsidR="001E16AE" w:rsidRPr="00A257DA">
        <w:rPr>
          <w:i/>
          <w:iCs/>
        </w:rPr>
        <w:t>r</w:t>
      </w:r>
      <w:r>
        <w:rPr>
          <w:i/>
          <w:vertAlign w:val="subscript"/>
        </w:rPr>
        <w:t>p</w:t>
      </w:r>
      <w:r w:rsidRPr="00A257DA">
        <w:rPr>
          <w:i/>
          <w:iCs/>
          <w:vertAlign w:val="subscript"/>
        </w:rPr>
        <w:t>i</w:t>
      </w:r>
      <w:proofErr w:type="spellEnd"/>
      <w:r w:rsidR="001E16AE" w:rsidRPr="00467956">
        <w:rPr>
          <w:vertAlign w:val="subscript"/>
        </w:rPr>
        <w:t xml:space="preserve"> </w:t>
      </w:r>
      <w:r w:rsidR="001E16AE" w:rsidRPr="00FF489F">
        <w:t xml:space="preserve">~ N(0, </w:t>
      </w:r>
      <w:r w:rsidR="001E16AE" w:rsidRPr="00467956">
        <w:sym w:font="Symbol" w:char="F074"/>
      </w:r>
      <w:r>
        <w:rPr>
          <w:i/>
          <w:vertAlign w:val="subscript"/>
        </w:rPr>
        <w:t>pp</w:t>
      </w:r>
      <w:r w:rsidR="001E16AE" w:rsidRPr="00FF489F">
        <w:t>)</w:t>
      </w:r>
      <w:r w:rsidR="00645E88">
        <w:t>.</w:t>
      </w:r>
    </w:p>
    <w:p w:rsidR="007F0F68" w:rsidRDefault="007F0F68" w:rsidP="00A257DA"/>
    <w:p w:rsidR="00645E88" w:rsidRDefault="00645E88" w:rsidP="00A257DA"/>
    <w:p w:rsidR="00645E88" w:rsidRPr="00645E88" w:rsidRDefault="00645E88" w:rsidP="00A257DA">
      <w:pPr>
        <w:rPr>
          <w:b/>
          <w:i/>
        </w:rPr>
      </w:pPr>
      <w:r w:rsidRPr="00645E88">
        <w:rPr>
          <w:b/>
          <w:i/>
        </w:rPr>
        <w:t>Linear Growth</w:t>
      </w:r>
    </w:p>
    <w:p w:rsidR="00645E88" w:rsidRDefault="00645E88" w:rsidP="00A257DA"/>
    <w:p w:rsidR="001E16AE" w:rsidRDefault="00645E88" w:rsidP="00A257DA">
      <w:r>
        <w:t xml:space="preserve">Consider a linear growth model. When the number of time points is few or the </w:t>
      </w:r>
      <w:proofErr w:type="gramStart"/>
      <w:r>
        <w:t>time period</w:t>
      </w:r>
      <w:proofErr w:type="gramEnd"/>
      <w:r>
        <w:t xml:space="preserve"> is short, polynomial models are difficult to estimate.</w:t>
      </w:r>
      <w:r w:rsidR="003055D5">
        <w:t xml:space="preserve"> This is an unconditional model.</w:t>
      </w:r>
    </w:p>
    <w:p w:rsidR="00645E88" w:rsidRDefault="00645E88" w:rsidP="00A257DA"/>
    <w:p w:rsidR="00645E88" w:rsidRPr="00645E88" w:rsidRDefault="00645E88" w:rsidP="00645E88">
      <w:pPr>
        <w:ind w:firstLine="720"/>
      </w:pPr>
      <w:r w:rsidRPr="00467956">
        <w:rPr>
          <w:i/>
        </w:rPr>
        <w:t>Y</w:t>
      </w:r>
      <w:r w:rsidRPr="00467956">
        <w:rPr>
          <w:i/>
          <w:vertAlign w:val="subscript"/>
        </w:rPr>
        <w:t>ti</w:t>
      </w:r>
      <w:r w:rsidRPr="00FF489F">
        <w:t xml:space="preserve"> = π</w:t>
      </w:r>
      <w:r w:rsidRPr="00467956">
        <w:rPr>
          <w:vertAlign w:val="subscript"/>
        </w:rPr>
        <w:t>0</w:t>
      </w:r>
      <w:r>
        <w:rPr>
          <w:i/>
          <w:vertAlign w:val="subscript"/>
        </w:rPr>
        <w:t>i</w:t>
      </w:r>
      <w:r w:rsidRPr="00FF489F">
        <w:t xml:space="preserve"> + </w:t>
      </w:r>
      <w:proofErr w:type="gramStart"/>
      <w:r w:rsidRPr="00FF489F">
        <w:t>π</w:t>
      </w:r>
      <w:r w:rsidRPr="00467956">
        <w:rPr>
          <w:vertAlign w:val="subscript"/>
        </w:rPr>
        <w:t>1</w:t>
      </w:r>
      <w:r w:rsidRPr="00467956">
        <w:rPr>
          <w:i/>
          <w:vertAlign w:val="subscript"/>
        </w:rPr>
        <w:t>i</w:t>
      </w:r>
      <w:r w:rsidR="002C0517">
        <w:t>(</w:t>
      </w:r>
      <w:proofErr w:type="gramEnd"/>
      <w:r w:rsidR="002C0517">
        <w:t>Time)</w:t>
      </w:r>
      <w:proofErr w:type="spellStart"/>
      <w:r>
        <w:rPr>
          <w:i/>
          <w:vertAlign w:val="subscript"/>
        </w:rPr>
        <w:t>ti</w:t>
      </w:r>
      <w:proofErr w:type="spellEnd"/>
      <w:r w:rsidRPr="00FF489F">
        <w:t xml:space="preserve"> + </w:t>
      </w:r>
      <w:proofErr w:type="spellStart"/>
      <w:r w:rsidRPr="00467956">
        <w:rPr>
          <w:i/>
        </w:rPr>
        <w:t>e</w:t>
      </w:r>
      <w:r w:rsidRPr="00467956">
        <w:rPr>
          <w:i/>
          <w:vertAlign w:val="subscript"/>
        </w:rPr>
        <w:t>ti</w:t>
      </w:r>
      <w:proofErr w:type="spellEnd"/>
      <w:r>
        <w:tab/>
      </w:r>
      <w:r>
        <w:tab/>
        <w:t xml:space="preserve">where </w:t>
      </w:r>
      <w:r w:rsidRPr="00467956">
        <w:rPr>
          <w:i/>
          <w:iCs/>
        </w:rPr>
        <w:t>e</w:t>
      </w:r>
      <w:r>
        <w:rPr>
          <w:i/>
          <w:iCs/>
          <w:vertAlign w:val="subscript"/>
        </w:rPr>
        <w:t>ti</w:t>
      </w:r>
      <w:r w:rsidRPr="00FF489F">
        <w:t xml:space="preserve"> ~ N(0, </w:t>
      </w:r>
      <w:r w:rsidRPr="00467956">
        <w:rPr>
          <w:iCs/>
        </w:rPr>
        <w:sym w:font="Symbol" w:char="F073"/>
      </w:r>
      <w:r w:rsidRPr="00467956">
        <w:rPr>
          <w:vertAlign w:val="superscript"/>
        </w:rPr>
        <w:t>2</w:t>
      </w:r>
      <w:r w:rsidRPr="00FF489F">
        <w:t>)</w:t>
      </w:r>
      <w:r>
        <w:t>.</w:t>
      </w:r>
    </w:p>
    <w:p w:rsidR="00645E88" w:rsidRDefault="00645E88" w:rsidP="00A257DA"/>
    <w:p w:rsidR="001E16AE" w:rsidRPr="00645E88" w:rsidRDefault="001E16AE" w:rsidP="001F4525">
      <w:pPr>
        <w:tabs>
          <w:tab w:val="left" w:pos="4320"/>
        </w:tabs>
        <w:ind w:firstLine="1170"/>
      </w:pPr>
      <w:r w:rsidRPr="00FF489F">
        <w:t>π</w:t>
      </w:r>
      <w:r w:rsidR="001F4525">
        <w:rPr>
          <w:vertAlign w:val="subscript"/>
        </w:rPr>
        <w:t>0</w:t>
      </w:r>
      <w:r w:rsidRPr="00467956">
        <w:rPr>
          <w:i/>
          <w:vertAlign w:val="subscript"/>
        </w:rPr>
        <w:t>i</w:t>
      </w:r>
      <w:r w:rsidRPr="00FF489F">
        <w:t xml:space="preserve"> = β</w:t>
      </w:r>
      <w:r w:rsidR="00645E88">
        <w:rPr>
          <w:vertAlign w:val="subscript"/>
        </w:rPr>
        <w:t>0</w:t>
      </w:r>
      <w:r w:rsidRPr="00467956">
        <w:rPr>
          <w:vertAlign w:val="subscript"/>
        </w:rPr>
        <w:t>0</w:t>
      </w:r>
      <w:r w:rsidRPr="00FF489F">
        <w:t xml:space="preserve"> + β</w:t>
      </w:r>
      <w:r w:rsidR="00645E88">
        <w:rPr>
          <w:vertAlign w:val="subscript"/>
        </w:rPr>
        <w:t>0</w:t>
      </w:r>
      <w:r w:rsidRPr="00467956">
        <w:rPr>
          <w:vertAlign w:val="subscript"/>
        </w:rPr>
        <w:t>1</w:t>
      </w:r>
      <w:r w:rsidRPr="00FF489F">
        <w:t>(</w:t>
      </w:r>
      <w:r w:rsidR="00645E88">
        <w:rPr>
          <w:i/>
        </w:rPr>
        <w:t>X</w:t>
      </w:r>
      <w:proofErr w:type="gramStart"/>
      <w:r w:rsidRPr="00FF489F">
        <w:t>)</w:t>
      </w:r>
      <w:proofErr w:type="spellStart"/>
      <w:r w:rsidRPr="00467956">
        <w:rPr>
          <w:i/>
          <w:vertAlign w:val="subscript"/>
        </w:rPr>
        <w:t>i</w:t>
      </w:r>
      <w:proofErr w:type="spellEnd"/>
      <w:proofErr w:type="gramEnd"/>
      <w:r w:rsidRPr="00FF489F">
        <w:t xml:space="preserve"> + </w:t>
      </w:r>
      <w:r w:rsidRPr="00467956">
        <w:rPr>
          <w:i/>
        </w:rPr>
        <w:t>r</w:t>
      </w:r>
      <w:r w:rsidR="00645E88">
        <w:rPr>
          <w:vertAlign w:val="subscript"/>
        </w:rPr>
        <w:t>0</w:t>
      </w:r>
      <w:r w:rsidRPr="00467956">
        <w:rPr>
          <w:i/>
          <w:vertAlign w:val="subscript"/>
        </w:rPr>
        <w:t>i</w:t>
      </w:r>
      <w:r w:rsidR="00645E88">
        <w:tab/>
      </w:r>
      <w:r w:rsidR="00645E88" w:rsidRPr="00FF489F">
        <w:t xml:space="preserve">where </w:t>
      </w:r>
      <w:r w:rsidR="00645E88" w:rsidRPr="00645E88">
        <w:rPr>
          <w:i/>
          <w:iCs/>
        </w:rPr>
        <w:t>r</w:t>
      </w:r>
      <w:r w:rsidR="00645E88">
        <w:rPr>
          <w:vertAlign w:val="subscript"/>
        </w:rPr>
        <w:t>0</w:t>
      </w:r>
      <w:r w:rsidR="00645E88" w:rsidRPr="00645E88">
        <w:rPr>
          <w:i/>
          <w:iCs/>
          <w:vertAlign w:val="subscript"/>
        </w:rPr>
        <w:t>i</w:t>
      </w:r>
      <w:r w:rsidR="00645E88" w:rsidRPr="00467956">
        <w:rPr>
          <w:vertAlign w:val="subscript"/>
        </w:rPr>
        <w:t xml:space="preserve"> </w:t>
      </w:r>
      <w:r w:rsidR="00645E88" w:rsidRPr="00FF489F">
        <w:t xml:space="preserve">~ N(0, </w:t>
      </w:r>
      <w:r w:rsidR="00645E88" w:rsidRPr="00467956">
        <w:sym w:font="Symbol" w:char="F074"/>
      </w:r>
      <w:r w:rsidR="00645E88">
        <w:rPr>
          <w:vertAlign w:val="subscript"/>
        </w:rPr>
        <w:t>00</w:t>
      </w:r>
      <w:r w:rsidR="00645E88" w:rsidRPr="00FF489F">
        <w:t>)</w:t>
      </w:r>
      <w:r w:rsidR="00645E88">
        <w:t>.</w:t>
      </w:r>
    </w:p>
    <w:p w:rsidR="00645E88" w:rsidRPr="00645E88" w:rsidRDefault="00645E88" w:rsidP="001F4525">
      <w:pPr>
        <w:tabs>
          <w:tab w:val="left" w:pos="4320"/>
        </w:tabs>
        <w:ind w:firstLine="1170"/>
      </w:pPr>
      <w:r w:rsidRPr="00FF489F">
        <w:t>π</w:t>
      </w:r>
      <w:r w:rsidRPr="00467956">
        <w:rPr>
          <w:vertAlign w:val="subscript"/>
        </w:rPr>
        <w:t>1</w:t>
      </w:r>
      <w:r w:rsidRPr="00645E88">
        <w:rPr>
          <w:i/>
          <w:vertAlign w:val="subscript"/>
        </w:rPr>
        <w:t>i</w:t>
      </w:r>
      <w:r w:rsidRPr="00FF489F">
        <w:t xml:space="preserve"> = β</w:t>
      </w:r>
      <w:r w:rsidRPr="00467956">
        <w:rPr>
          <w:vertAlign w:val="subscript"/>
        </w:rPr>
        <w:t>10</w:t>
      </w:r>
      <w:r w:rsidRPr="00FF489F">
        <w:t xml:space="preserve"> + β</w:t>
      </w:r>
      <w:r w:rsidRPr="00467956">
        <w:rPr>
          <w:vertAlign w:val="subscript"/>
        </w:rPr>
        <w:t>11</w:t>
      </w:r>
      <w:r w:rsidRPr="00FF489F">
        <w:t>(</w:t>
      </w:r>
      <w:r w:rsidRPr="00645E88">
        <w:rPr>
          <w:i/>
        </w:rPr>
        <w:t>X</w:t>
      </w:r>
      <w:proofErr w:type="gramStart"/>
      <w:r w:rsidRPr="00FF489F">
        <w:t>)</w:t>
      </w:r>
      <w:proofErr w:type="spellStart"/>
      <w:r>
        <w:rPr>
          <w:i/>
          <w:vertAlign w:val="subscript"/>
        </w:rPr>
        <w:t>i</w:t>
      </w:r>
      <w:proofErr w:type="spellEnd"/>
      <w:proofErr w:type="gramEnd"/>
      <w:r w:rsidRPr="00FF489F">
        <w:t xml:space="preserve"> + </w:t>
      </w:r>
      <w:r w:rsidRPr="00467956">
        <w:rPr>
          <w:i/>
        </w:rPr>
        <w:t>r</w:t>
      </w:r>
      <w:r w:rsidRPr="00467956">
        <w:rPr>
          <w:vertAlign w:val="subscript"/>
        </w:rPr>
        <w:t>1</w:t>
      </w:r>
      <w:r w:rsidRPr="00467956">
        <w:rPr>
          <w:i/>
          <w:vertAlign w:val="subscript"/>
        </w:rPr>
        <w:t>i</w:t>
      </w:r>
      <w:r>
        <w:tab/>
      </w:r>
      <w:r w:rsidRPr="00FF489F">
        <w:t xml:space="preserve">where </w:t>
      </w:r>
      <w:r w:rsidRPr="00645E88">
        <w:rPr>
          <w:i/>
          <w:iCs/>
        </w:rPr>
        <w:t>r</w:t>
      </w:r>
      <w:r>
        <w:rPr>
          <w:vertAlign w:val="subscript"/>
        </w:rPr>
        <w:t>1</w:t>
      </w:r>
      <w:r w:rsidRPr="00645E88">
        <w:rPr>
          <w:i/>
          <w:iCs/>
          <w:vertAlign w:val="subscript"/>
        </w:rPr>
        <w:t>i</w:t>
      </w:r>
      <w:r w:rsidRPr="00467956">
        <w:rPr>
          <w:vertAlign w:val="subscript"/>
        </w:rPr>
        <w:t xml:space="preserve"> </w:t>
      </w:r>
      <w:r w:rsidRPr="00FF489F">
        <w:t xml:space="preserve">~ N(0, </w:t>
      </w:r>
      <w:r w:rsidRPr="00467956">
        <w:sym w:font="Symbol" w:char="F074"/>
      </w:r>
      <w:r>
        <w:rPr>
          <w:vertAlign w:val="subscript"/>
        </w:rPr>
        <w:t>11</w:t>
      </w:r>
      <w:r w:rsidRPr="00FF489F">
        <w:t>)</w:t>
      </w:r>
      <w:r>
        <w:t xml:space="preserve">, also with covariance, </w:t>
      </w:r>
      <w:r w:rsidRPr="00467956">
        <w:sym w:font="Symbol" w:char="F074"/>
      </w:r>
      <w:r>
        <w:rPr>
          <w:vertAlign w:val="subscript"/>
        </w:rPr>
        <w:t>01</w:t>
      </w:r>
      <w:r>
        <w:t>.</w:t>
      </w:r>
    </w:p>
    <w:p w:rsidR="00645E88" w:rsidRDefault="00645E88" w:rsidP="00645E88"/>
    <w:p w:rsidR="001F4525" w:rsidRDefault="001F4525" w:rsidP="001F4525">
      <w:pPr>
        <w:ind w:left="720"/>
      </w:pPr>
      <w:r w:rsidRPr="00FF489F">
        <w:t>π</w:t>
      </w:r>
      <w:r w:rsidRPr="00467956">
        <w:rPr>
          <w:vertAlign w:val="subscript"/>
        </w:rPr>
        <w:t>0</w:t>
      </w:r>
      <w:r>
        <w:rPr>
          <w:i/>
          <w:vertAlign w:val="subscript"/>
        </w:rPr>
        <w:t>i</w:t>
      </w:r>
      <w:r w:rsidRPr="00FF489F">
        <w:t xml:space="preserve"> </w:t>
      </w:r>
    </w:p>
    <w:p w:rsidR="001F4525" w:rsidRPr="001F4525" w:rsidRDefault="001F4525" w:rsidP="001F4525">
      <w:pPr>
        <w:ind w:left="720"/>
      </w:pPr>
      <w:r w:rsidRPr="00FF489F">
        <w:t>π</w:t>
      </w:r>
      <w:r w:rsidRPr="00467956">
        <w:rPr>
          <w:vertAlign w:val="subscript"/>
        </w:rPr>
        <w:t>1</w:t>
      </w:r>
      <w:r w:rsidRPr="00467956">
        <w:rPr>
          <w:i/>
          <w:vertAlign w:val="subscript"/>
        </w:rPr>
        <w:t>i</w:t>
      </w:r>
      <w:r>
        <w:t xml:space="preserve"> </w:t>
      </w:r>
    </w:p>
    <w:p w:rsidR="001E16AE" w:rsidRPr="001F4525" w:rsidRDefault="001F4525" w:rsidP="001F4525">
      <w:pPr>
        <w:ind w:left="720"/>
      </w:pPr>
      <w:proofErr w:type="gramStart"/>
      <w:r w:rsidRPr="00467956">
        <w:rPr>
          <w:i/>
        </w:rPr>
        <w:t>e</w:t>
      </w:r>
      <w:r w:rsidRPr="00467956">
        <w:rPr>
          <w:i/>
          <w:vertAlign w:val="subscript"/>
        </w:rPr>
        <w:t>ti</w:t>
      </w:r>
      <w:proofErr w:type="gramEnd"/>
      <w:r>
        <w:t xml:space="preserve"> </w:t>
      </w:r>
    </w:p>
    <w:p w:rsidR="001F4525" w:rsidRDefault="001F4525" w:rsidP="001F4525">
      <w:pPr>
        <w:ind w:left="720"/>
      </w:pPr>
      <w:r w:rsidRPr="00FF489F">
        <w:t>β</w:t>
      </w:r>
      <w:r>
        <w:rPr>
          <w:vertAlign w:val="subscript"/>
        </w:rPr>
        <w:t>0</w:t>
      </w:r>
      <w:r w:rsidRPr="00467956">
        <w:rPr>
          <w:vertAlign w:val="subscript"/>
        </w:rPr>
        <w:t>0</w:t>
      </w:r>
      <w:r w:rsidRPr="00FF489F">
        <w:t xml:space="preserve"> </w:t>
      </w:r>
    </w:p>
    <w:p w:rsidR="001F4525" w:rsidRDefault="001F4525" w:rsidP="001F4525">
      <w:pPr>
        <w:ind w:left="720"/>
      </w:pPr>
      <w:r w:rsidRPr="00FF489F">
        <w:t>β</w:t>
      </w:r>
      <w:r>
        <w:rPr>
          <w:vertAlign w:val="subscript"/>
        </w:rPr>
        <w:t>0</w:t>
      </w:r>
      <w:r w:rsidRPr="00467956">
        <w:rPr>
          <w:vertAlign w:val="subscript"/>
        </w:rPr>
        <w:t>1</w:t>
      </w:r>
      <w:r w:rsidRPr="00FF489F">
        <w:t>(</w:t>
      </w:r>
      <w:r>
        <w:rPr>
          <w:i/>
        </w:rPr>
        <w:t>X</w:t>
      </w:r>
      <w:proofErr w:type="gramStart"/>
      <w:r w:rsidRPr="00FF489F">
        <w:t>)</w:t>
      </w:r>
      <w:proofErr w:type="spellStart"/>
      <w:r w:rsidRPr="00467956">
        <w:rPr>
          <w:i/>
          <w:vertAlign w:val="subscript"/>
        </w:rPr>
        <w:t>i</w:t>
      </w:r>
      <w:proofErr w:type="spellEnd"/>
      <w:proofErr w:type="gramEnd"/>
      <w:r w:rsidRPr="00FF489F">
        <w:t xml:space="preserve"> </w:t>
      </w:r>
    </w:p>
    <w:p w:rsidR="001E16AE" w:rsidRPr="001F4525" w:rsidRDefault="001F4525" w:rsidP="001F4525">
      <w:pPr>
        <w:ind w:left="720"/>
      </w:pPr>
      <w:r w:rsidRPr="00467956">
        <w:rPr>
          <w:i/>
        </w:rPr>
        <w:t>r</w:t>
      </w:r>
      <w:r>
        <w:rPr>
          <w:vertAlign w:val="subscript"/>
        </w:rPr>
        <w:t>0</w:t>
      </w:r>
      <w:r w:rsidRPr="00467956">
        <w:rPr>
          <w:i/>
          <w:vertAlign w:val="subscript"/>
        </w:rPr>
        <w:t>i</w:t>
      </w:r>
      <w:r>
        <w:t xml:space="preserve"> </w:t>
      </w:r>
    </w:p>
    <w:p w:rsidR="001F4525" w:rsidRDefault="001F4525" w:rsidP="001F4525">
      <w:pPr>
        <w:ind w:left="720"/>
      </w:pPr>
      <w:r w:rsidRPr="00FF489F">
        <w:t>β</w:t>
      </w:r>
      <w:r w:rsidRPr="00467956">
        <w:rPr>
          <w:vertAlign w:val="subscript"/>
        </w:rPr>
        <w:t>10</w:t>
      </w:r>
      <w:r w:rsidRPr="00FF489F">
        <w:t xml:space="preserve"> </w:t>
      </w:r>
    </w:p>
    <w:p w:rsidR="001F4525" w:rsidRDefault="001F4525" w:rsidP="001F4525">
      <w:pPr>
        <w:ind w:left="720"/>
      </w:pPr>
      <w:r w:rsidRPr="00FF489F">
        <w:t>β</w:t>
      </w:r>
      <w:r w:rsidRPr="00467956">
        <w:rPr>
          <w:vertAlign w:val="subscript"/>
        </w:rPr>
        <w:t>11</w:t>
      </w:r>
      <w:r w:rsidRPr="00FF489F">
        <w:t>(</w:t>
      </w:r>
      <w:r w:rsidRPr="00645E88">
        <w:rPr>
          <w:i/>
        </w:rPr>
        <w:t>X</w:t>
      </w:r>
      <w:proofErr w:type="gramStart"/>
      <w:r w:rsidRPr="00FF489F">
        <w:t>)</w:t>
      </w:r>
      <w:proofErr w:type="spellStart"/>
      <w:r>
        <w:rPr>
          <w:i/>
          <w:vertAlign w:val="subscript"/>
        </w:rPr>
        <w:t>i</w:t>
      </w:r>
      <w:proofErr w:type="spellEnd"/>
      <w:proofErr w:type="gramEnd"/>
      <w:r w:rsidRPr="00FF489F">
        <w:t xml:space="preserve"> </w:t>
      </w:r>
    </w:p>
    <w:p w:rsidR="007F0F68" w:rsidRPr="001F4525" w:rsidRDefault="001F4525" w:rsidP="001F4525">
      <w:pPr>
        <w:ind w:left="720"/>
      </w:pPr>
      <w:r w:rsidRPr="00467956">
        <w:rPr>
          <w:i/>
        </w:rPr>
        <w:t>r</w:t>
      </w:r>
      <w:r w:rsidRPr="00467956">
        <w:rPr>
          <w:vertAlign w:val="subscript"/>
        </w:rPr>
        <w:t>1</w:t>
      </w:r>
      <w:r w:rsidRPr="00467956">
        <w:rPr>
          <w:i/>
          <w:vertAlign w:val="subscript"/>
        </w:rPr>
        <w:t>i</w:t>
      </w:r>
      <w:r>
        <w:t xml:space="preserve"> </w:t>
      </w:r>
    </w:p>
    <w:p w:rsidR="007F0F68" w:rsidRDefault="007F0F68" w:rsidP="00A257DA">
      <w:r>
        <w:br w:type="page"/>
      </w:r>
    </w:p>
    <w:p w:rsidR="00DC7C47" w:rsidRDefault="00DC7C47"/>
    <w:p w:rsidR="001555D5" w:rsidRDefault="001555D5">
      <w:r>
        <w:t>A couple notes on the model.</w:t>
      </w:r>
    </w:p>
    <w:p w:rsidR="001555D5" w:rsidRDefault="001555D5"/>
    <w:p w:rsidR="001555D5" w:rsidRDefault="001555D5" w:rsidP="001555D5">
      <w:pPr>
        <w:numPr>
          <w:ilvl w:val="0"/>
          <w:numId w:val="1"/>
        </w:numPr>
      </w:pPr>
      <w:r>
        <w:t xml:space="preserve">The model includes </w:t>
      </w:r>
      <w:r w:rsidR="002C0517">
        <w:t xml:space="preserve">two </w:t>
      </w:r>
      <w:r>
        <w:t>levels over time (time nested within</w:t>
      </w:r>
      <w:r w:rsidR="002C0517">
        <w:t xml:space="preserve"> person). This </w:t>
      </w:r>
      <w:proofErr w:type="gramStart"/>
      <w:r w:rsidR="002C0517">
        <w:t>can be generalized</w:t>
      </w:r>
      <w:proofErr w:type="gramEnd"/>
      <w:r w:rsidR="002C0517">
        <w:t xml:space="preserve"> to three or four (or more) levels, by considering persons nested within organizations and so on.</w:t>
      </w:r>
      <w:r>
        <w:t xml:space="preserve"> In some </w:t>
      </w:r>
      <w:proofErr w:type="gramStart"/>
      <w:r>
        <w:t>cases</w:t>
      </w:r>
      <w:proofErr w:type="gramEnd"/>
      <w:r>
        <w:t xml:space="preserve"> you will not have all of these levels. During the first two</w:t>
      </w:r>
      <w:r w:rsidR="002C0517">
        <w:t xml:space="preserve"> time points</w:t>
      </w:r>
      <w:r>
        <w:t xml:space="preserve">, you will not have the </w:t>
      </w:r>
      <w:r w:rsidRPr="002C0517">
        <w:rPr>
          <w:i/>
        </w:rPr>
        <w:t>Time</w:t>
      </w:r>
      <w:r>
        <w:t xml:space="preserve"> level. You can use the Prior-Year covariate model after the second </w:t>
      </w:r>
      <w:r w:rsidR="002C0517">
        <w:t xml:space="preserve">time point, within person, </w:t>
      </w:r>
      <w:r>
        <w:t>and then move right to</w:t>
      </w:r>
      <w:r w:rsidR="002C0517">
        <w:t xml:space="preserve"> the group model at level </w:t>
      </w:r>
      <w:proofErr w:type="gramStart"/>
      <w:r w:rsidR="002C0517">
        <w:t>2</w:t>
      </w:r>
      <w:proofErr w:type="gramEnd"/>
      <w:r>
        <w:t>.</w:t>
      </w:r>
    </w:p>
    <w:p w:rsidR="00BA749F" w:rsidRDefault="002C0517" w:rsidP="001555D5">
      <w:pPr>
        <w:numPr>
          <w:ilvl w:val="0"/>
          <w:numId w:val="1"/>
        </w:numPr>
      </w:pPr>
      <w:r>
        <w:t xml:space="preserve">Consider </w:t>
      </w:r>
      <w:r w:rsidR="001555D5">
        <w:t>center</w:t>
      </w:r>
      <w:r w:rsidR="00BA749F">
        <w:t>ing</w:t>
      </w:r>
      <w:r w:rsidR="001555D5">
        <w:t xml:space="preserve"> Time so that Time-1 is </w:t>
      </w:r>
      <w:proofErr w:type="gramStart"/>
      <w:r w:rsidR="001555D5">
        <w:t>0</w:t>
      </w:r>
      <w:proofErr w:type="gramEnd"/>
      <w:r w:rsidR="001555D5">
        <w:t>, Time-2 is 1, Time-3 is 2</w:t>
      </w:r>
      <w:r w:rsidR="00BA749F">
        <w:t>, etc</w:t>
      </w:r>
      <w:r w:rsidR="001555D5">
        <w:t xml:space="preserve">. This will make the intercept the score at Time-1 (the intercept is the value of the outcome when the predictors are 0). At all </w:t>
      </w:r>
      <w:r w:rsidR="00BA749F">
        <w:t xml:space="preserve">other </w:t>
      </w:r>
      <w:r w:rsidR="001555D5">
        <w:t>levels, except the final level</w:t>
      </w:r>
      <w:r w:rsidR="00BA749F">
        <w:t xml:space="preserve">, </w:t>
      </w:r>
      <w:r w:rsidR="001555D5">
        <w:t xml:space="preserve">you should group-mean center the explanatory variables. By group-mean centering the variables, for example </w:t>
      </w:r>
      <w:r w:rsidR="00BA749F">
        <w:t xml:space="preserve">person </w:t>
      </w:r>
      <w:r w:rsidR="001555D5">
        <w:t>variables, the intercept for each model (each level with predictors) will be the mean at that level.</w:t>
      </w:r>
    </w:p>
    <w:p w:rsidR="001555D5" w:rsidRDefault="00BA749F" w:rsidP="00BA749F">
      <w:pPr>
        <w:ind w:left="720" w:firstLine="720"/>
      </w:pPr>
      <w:r>
        <w:t>Consider an example with time-points nested in students nested in teachers nested in schools. If you group-</w:t>
      </w:r>
      <w:r w:rsidR="001555D5">
        <w:t xml:space="preserve">mean center </w:t>
      </w:r>
      <w:r>
        <w:t xml:space="preserve">student </w:t>
      </w:r>
      <w:r w:rsidR="001555D5">
        <w:t xml:space="preserve">variables at </w:t>
      </w:r>
      <w:r>
        <w:t>l</w:t>
      </w:r>
      <w:r w:rsidR="001555D5">
        <w:t>evel</w:t>
      </w:r>
      <w:r>
        <w:t xml:space="preserve"> </w:t>
      </w:r>
      <w:r w:rsidR="001555D5">
        <w:t xml:space="preserve">2, the intercept at this level is the </w:t>
      </w:r>
      <w:r>
        <w:t>student baseline (beginning score if Time-1 = 0)</w:t>
      </w:r>
      <w:r w:rsidR="001555D5">
        <w:t>.</w:t>
      </w:r>
      <w:r w:rsidR="00E46D26">
        <w:t xml:space="preserve"> At </w:t>
      </w:r>
      <w:r>
        <w:t>l</w:t>
      </w:r>
      <w:r w:rsidR="00E46D26">
        <w:t>evel</w:t>
      </w:r>
      <w:r>
        <w:t xml:space="preserve"> </w:t>
      </w:r>
      <w:proofErr w:type="gramStart"/>
      <w:r w:rsidR="00E46D26">
        <w:t>3</w:t>
      </w:r>
      <w:proofErr w:type="gramEnd"/>
      <w:r w:rsidR="00E46D26">
        <w:t xml:space="preserve">, if you group-mean center the </w:t>
      </w:r>
      <w:r>
        <w:t xml:space="preserve">teacher </w:t>
      </w:r>
      <w:r w:rsidR="00E46D26">
        <w:t xml:space="preserve">variables, the intercept is the </w:t>
      </w:r>
      <w:r>
        <w:t>teacher baseline</w:t>
      </w:r>
      <w:r w:rsidR="00E46D26">
        <w:t xml:space="preserve">. At </w:t>
      </w:r>
      <w:r>
        <w:t>l</w:t>
      </w:r>
      <w:r w:rsidR="00E46D26">
        <w:t>evel</w:t>
      </w:r>
      <w:r>
        <w:t xml:space="preserve"> </w:t>
      </w:r>
      <w:r w:rsidR="00E46D26">
        <w:t xml:space="preserve">4, if you </w:t>
      </w:r>
      <w:r>
        <w:t>grand</w:t>
      </w:r>
      <w:r w:rsidR="00E46D26">
        <w:t>-mean center the school variables, the intercept is the grand mean</w:t>
      </w:r>
      <w:r>
        <w:t xml:space="preserve"> across schools</w:t>
      </w:r>
    </w:p>
    <w:p w:rsidR="00BA749F" w:rsidRDefault="00E46D26" w:rsidP="001555D5">
      <w:pPr>
        <w:numPr>
          <w:ilvl w:val="0"/>
          <w:numId w:val="1"/>
        </w:numPr>
      </w:pPr>
      <w:r>
        <w:t xml:space="preserve">When you group-mean center variables at one level, you should add to the model of the intercept at the next level the level-means to account for group differences. Group-mean centering takes out the mean differences because they </w:t>
      </w:r>
      <w:proofErr w:type="gramStart"/>
      <w:r>
        <w:t>are subtracted</w:t>
      </w:r>
      <w:proofErr w:type="gramEnd"/>
      <w:r>
        <w:t xml:space="preserve"> from each case in the group – so that each group has a mean of zero. We typically add these back into the model of the intercept at the next level, to account for group differences.</w:t>
      </w:r>
    </w:p>
    <w:p w:rsidR="00E46D26" w:rsidRDefault="00E46D26" w:rsidP="00BA749F">
      <w:pPr>
        <w:ind w:left="720" w:firstLine="720"/>
      </w:pPr>
      <w:r>
        <w:t xml:space="preserve">For example, a student’s prior score may have an effect on their current score, but so may the average score of the classroom where that student is located. At </w:t>
      </w:r>
      <w:r w:rsidR="00BA749F">
        <w:t>l</w:t>
      </w:r>
      <w:r>
        <w:t>evel</w:t>
      </w:r>
      <w:r w:rsidR="00BA749F">
        <w:t xml:space="preserve"> </w:t>
      </w:r>
      <w:r>
        <w:t xml:space="preserve">1, we add the group-mean centered prior score to account for student differences in prior achievement. Then at </w:t>
      </w:r>
      <w:r w:rsidR="00BA749F">
        <w:t>l</w:t>
      </w:r>
      <w:r>
        <w:t>evel</w:t>
      </w:r>
      <w:r w:rsidR="00BA749F">
        <w:t xml:space="preserve"> </w:t>
      </w:r>
      <w:r>
        <w:t>2, to model the intercept, we add the classroom average score to account for differences in classrooms.</w:t>
      </w:r>
      <w:r w:rsidR="00BA749F">
        <w:t xml:space="preserve"> This fully accounts for the effect of that variable, including the within-group effect (β</w:t>
      </w:r>
      <w:r w:rsidR="0093535A" w:rsidRPr="0093535A">
        <w:rPr>
          <w:vertAlign w:val="subscript"/>
        </w:rPr>
        <w:t>w</w:t>
      </w:r>
      <w:r w:rsidR="00BA749F">
        <w:t xml:space="preserve"> at level 1) and the between group effect (</w:t>
      </w:r>
      <w:r w:rsidR="0093535A">
        <w:t>β</w:t>
      </w:r>
      <w:r w:rsidR="0093535A">
        <w:rPr>
          <w:vertAlign w:val="subscript"/>
        </w:rPr>
        <w:t>b</w:t>
      </w:r>
      <w:r w:rsidR="0093535A">
        <w:t xml:space="preserve"> </w:t>
      </w:r>
      <w:r w:rsidR="00BA749F">
        <w:t>at level 2).</w:t>
      </w:r>
      <w:r w:rsidR="0093535A">
        <w:t xml:space="preserve"> This also allows for the estimation of composition effects.</w:t>
      </w:r>
    </w:p>
    <w:p w:rsidR="00E46D26" w:rsidRDefault="00E46D26" w:rsidP="001555D5">
      <w:pPr>
        <w:numPr>
          <w:ilvl w:val="0"/>
          <w:numId w:val="1"/>
        </w:numPr>
      </w:pPr>
      <w:r>
        <w:t xml:space="preserve">Finally, there are many coefficients </w:t>
      </w:r>
      <w:r w:rsidR="00D454A3">
        <w:t xml:space="preserve">estimated in growth models, particularly multi-level growth models, </w:t>
      </w:r>
      <w:r>
        <w:t xml:space="preserve">for which you </w:t>
      </w:r>
      <w:r w:rsidR="00D454A3">
        <w:t xml:space="preserve">may </w:t>
      </w:r>
      <w:r>
        <w:t xml:space="preserve">not </w:t>
      </w:r>
      <w:r w:rsidR="00D454A3">
        <w:t xml:space="preserve">be </w:t>
      </w:r>
      <w:r>
        <w:t xml:space="preserve">interested. </w:t>
      </w:r>
      <w:r w:rsidR="0093535A">
        <w:t xml:space="preserve">The coefficients of most interest tend to </w:t>
      </w:r>
      <w:r>
        <w:t>include the grand-mean effects of student, classroom, and school variables on growth.</w:t>
      </w:r>
      <w:r w:rsidR="00D454A3">
        <w:t xml:space="preserve"> In most cases, the grand mean intercept is not particularly interesting.</w:t>
      </w:r>
    </w:p>
    <w:p w:rsidR="00E46D26" w:rsidRDefault="00E46D26" w:rsidP="00E46D26"/>
    <w:p w:rsidR="00E46D26" w:rsidRDefault="00E46D26" w:rsidP="00E46D26"/>
    <w:p w:rsidR="006D1270" w:rsidRDefault="006D1270">
      <w:r>
        <w:br w:type="page"/>
      </w:r>
    </w:p>
    <w:p w:rsidR="00E46D26" w:rsidRPr="006D1270" w:rsidRDefault="006D1270" w:rsidP="00E46D26">
      <w:pPr>
        <w:rPr>
          <w:b/>
          <w:i/>
        </w:rPr>
      </w:pPr>
      <w:r w:rsidRPr="006D1270">
        <w:rPr>
          <w:b/>
          <w:i/>
        </w:rPr>
        <w:lastRenderedPageBreak/>
        <w:t>Other Considerations</w:t>
      </w:r>
    </w:p>
    <w:p w:rsidR="00726DED" w:rsidRDefault="00726DED" w:rsidP="00E46D26"/>
    <w:p w:rsidR="00E21AD5" w:rsidRDefault="00E21AD5" w:rsidP="00E46D26"/>
    <w:p w:rsidR="006D1270" w:rsidRPr="003055D5" w:rsidRDefault="006D1270" w:rsidP="00E46D26">
      <w:pPr>
        <w:rPr>
          <w:i/>
        </w:rPr>
      </w:pPr>
      <w:r w:rsidRPr="003055D5">
        <w:rPr>
          <w:i/>
        </w:rPr>
        <w:t>Variation in growth trajectories</w:t>
      </w:r>
    </w:p>
    <w:p w:rsidR="006D1270" w:rsidRDefault="006D1270" w:rsidP="00E46D26"/>
    <w:p w:rsidR="006D1270" w:rsidRDefault="006D1270" w:rsidP="00E46D26">
      <w:r>
        <w:t>From a simple linear model, we can estimate the mean intercept</w:t>
      </w:r>
      <w:proofErr w:type="gramStart"/>
      <w: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00</m:t>
            </m:r>
          </m:sub>
        </m:sSub>
      </m:oMath>
      <w:r w:rsidR="003055D5">
        <w:t>,</w:t>
      </w:r>
      <w:r>
        <w:t xml:space="preserve"> and mean growth rate</w:t>
      </w:r>
      <w:r w:rsidR="003055D5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>
        <w:t>.</w:t>
      </w:r>
      <w:r w:rsidR="003055D5">
        <w:t xml:space="preserve"> These are estimated with variance components (variance in π</w:t>
      </w:r>
      <w:r w:rsidR="003055D5" w:rsidRPr="003055D5">
        <w:rPr>
          <w:vertAlign w:val="subscript"/>
        </w:rPr>
        <w:t>0</w:t>
      </w:r>
      <w:r w:rsidR="003055D5" w:rsidRPr="003055D5">
        <w:rPr>
          <w:i/>
          <w:vertAlign w:val="subscript"/>
        </w:rPr>
        <w:t>i</w:t>
      </w:r>
      <w:r w:rsidR="003055D5">
        <w:t xml:space="preserve"> and π</w:t>
      </w:r>
      <w:r w:rsidR="003055D5" w:rsidRPr="003055D5">
        <w:rPr>
          <w:vertAlign w:val="subscript"/>
        </w:rPr>
        <w:t>1</w:t>
      </w:r>
      <w:r w:rsidR="003055D5" w:rsidRPr="003055D5">
        <w:rPr>
          <w:i/>
          <w:vertAlign w:val="subscript"/>
        </w:rPr>
        <w:t>i</w:t>
      </w:r>
      <w:r w:rsidR="003055D5">
        <w:t xml:space="preserve"> across individuals), which can be used to estimate standard deviations in individual growth trajectories.</w:t>
      </w:r>
    </w:p>
    <w:p w:rsidR="003055D5" w:rsidRDefault="003055D5" w:rsidP="00E46D26"/>
    <w:p w:rsidR="003055D5" w:rsidRDefault="003055D5" w:rsidP="00E46D26">
      <w:r>
        <w:t>We can estimate ranges of intercepts (perhaps baseline if time-point 1 = 0) with</w:t>
      </w:r>
    </w:p>
    <w:p w:rsidR="003055D5" w:rsidRDefault="003055D5" w:rsidP="00E46D26"/>
    <w:p w:rsidR="003055D5" w:rsidRPr="003055D5" w:rsidRDefault="00E32960" w:rsidP="003055D5">
      <w:pPr>
        <w:ind w:left="720" w:firstLine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00</m:t>
              </m:r>
            </m:sub>
          </m:sSub>
          <m:r>
            <w:rPr>
              <w:rFonts w:ascii="Cambria Math" w:hAnsi="Cambria Math"/>
            </w:rPr>
            <m:t>±1.96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00</m:t>
                  </m:r>
                </m:sub>
              </m:sSub>
            </m:e>
          </m:rad>
        </m:oMath>
      </m:oMathPara>
    </w:p>
    <w:p w:rsidR="003055D5" w:rsidRDefault="003055D5" w:rsidP="00E46D26"/>
    <w:p w:rsidR="003055D5" w:rsidRDefault="003055D5" w:rsidP="00E46D26">
      <w:proofErr w:type="gramStart"/>
      <w:r>
        <w:t>and</w:t>
      </w:r>
      <w:proofErr w:type="gramEnd"/>
      <w:r>
        <w:t xml:space="preserve"> growth rates using the standard deviations:</w:t>
      </w:r>
    </w:p>
    <w:p w:rsidR="003055D5" w:rsidRDefault="003055D5" w:rsidP="00E46D26"/>
    <w:p w:rsidR="003055D5" w:rsidRPr="003055D5" w:rsidRDefault="00E32960" w:rsidP="003055D5">
      <w:pPr>
        <w:ind w:left="720" w:firstLine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>±1.96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</m:e>
          </m:rad>
        </m:oMath>
      </m:oMathPara>
    </w:p>
    <w:p w:rsidR="003055D5" w:rsidRDefault="003055D5" w:rsidP="00E46D26"/>
    <w:p w:rsidR="00E21AD5" w:rsidRDefault="00E21AD5" w:rsidP="00E46D26"/>
    <w:p w:rsidR="003055D5" w:rsidRPr="003055D5" w:rsidRDefault="003055D5" w:rsidP="00E46D26">
      <w:pPr>
        <w:rPr>
          <w:i/>
        </w:rPr>
      </w:pPr>
      <w:r w:rsidRPr="003055D5">
        <w:rPr>
          <w:i/>
        </w:rPr>
        <w:t>Reliability of growth trajectories</w:t>
      </w:r>
    </w:p>
    <w:p w:rsidR="003055D5" w:rsidRDefault="003055D5" w:rsidP="00E46D26"/>
    <w:p w:rsidR="003055D5" w:rsidRPr="0023033D" w:rsidRDefault="00E32960" w:rsidP="0023033D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reliability of 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pi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Var(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pi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Var(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π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pp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ppi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6D1270" w:rsidRDefault="006D1270" w:rsidP="00E46D26"/>
    <w:p w:rsidR="00E21AD5" w:rsidRDefault="00E21AD5" w:rsidP="00E46D26"/>
    <w:p w:rsidR="0023033D" w:rsidRPr="0023033D" w:rsidRDefault="0023033D" w:rsidP="00E46D26">
      <w:pPr>
        <w:rPr>
          <w:i/>
        </w:rPr>
      </w:pPr>
      <w:r w:rsidRPr="0023033D">
        <w:rPr>
          <w:i/>
        </w:rPr>
        <w:t>Correlation of change with initial status</w:t>
      </w:r>
    </w:p>
    <w:p w:rsidR="0023033D" w:rsidRDefault="0023033D" w:rsidP="00E46D26"/>
    <w:p w:rsidR="0023033D" w:rsidRPr="0023033D" w:rsidRDefault="00126338" w:rsidP="0023033D">
      <w:pPr>
        <w:ind w:left="720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0i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1i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00</m:t>
                          </m:r>
                        </m:sub>
                      </m:sSub>
                      <m:acc>
                        <m:accPr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</m:rad>
            </m:den>
          </m:f>
        </m:oMath>
      </m:oMathPara>
      <w:bookmarkStart w:id="0" w:name="_GoBack"/>
      <w:bookmarkEnd w:id="0"/>
    </w:p>
    <w:p w:rsidR="0023033D" w:rsidRDefault="0023033D" w:rsidP="00E46D26"/>
    <w:p w:rsidR="0023033D" w:rsidRDefault="0023033D" w:rsidP="00E46D26"/>
    <w:p w:rsidR="00126338" w:rsidRDefault="00126338" w:rsidP="00E46D26"/>
    <w:p w:rsidR="006D1270" w:rsidRDefault="006D1270" w:rsidP="00E46D26"/>
    <w:p w:rsidR="006D1270" w:rsidRDefault="006D1270" w:rsidP="00E46D26"/>
    <w:p w:rsidR="00726DED" w:rsidRDefault="00726DED" w:rsidP="00726DED">
      <w:pPr>
        <w:pBdr>
          <w:top w:val="single" w:sz="4" w:space="1" w:color="auto"/>
        </w:pBdr>
        <w:rPr>
          <w:b/>
          <w:vertAlign w:val="subscript"/>
        </w:rPr>
      </w:pPr>
      <w:r>
        <w:t xml:space="preserve">Source: </w:t>
      </w:r>
      <w:proofErr w:type="spellStart"/>
      <w:r w:rsidRPr="00AB6FD4">
        <w:t>Raudenbush</w:t>
      </w:r>
      <w:proofErr w:type="spellEnd"/>
      <w:r w:rsidRPr="00AB6FD4">
        <w:t xml:space="preserve">, S.W. &amp; </w:t>
      </w:r>
      <w:proofErr w:type="spellStart"/>
      <w:r w:rsidRPr="00AB6FD4">
        <w:t>Bryk</w:t>
      </w:r>
      <w:proofErr w:type="spellEnd"/>
      <w:r w:rsidRPr="00AB6FD4">
        <w:rPr>
          <w:i/>
          <w:iCs/>
        </w:rPr>
        <w:t xml:space="preserve">, </w:t>
      </w:r>
      <w:r w:rsidRPr="00AB6FD4">
        <w:t xml:space="preserve">A.S. (2002). </w:t>
      </w:r>
      <w:r w:rsidRPr="00AB6FD4">
        <w:rPr>
          <w:i/>
          <w:iCs/>
        </w:rPr>
        <w:t>Hierarchical Linear Models. Applications and Data Analysis Methods</w:t>
      </w:r>
      <w:r>
        <w:t xml:space="preserve"> (2</w:t>
      </w:r>
      <w:r w:rsidRPr="00CF28C9">
        <w:rPr>
          <w:vertAlign w:val="superscript"/>
        </w:rPr>
        <w:t>nd</w:t>
      </w:r>
      <w:r>
        <w:t xml:space="preserve"> ed., pp. 160-203)</w:t>
      </w:r>
      <w:r w:rsidRPr="00AB6FD4">
        <w:t>. Sage Publications.</w:t>
      </w:r>
    </w:p>
    <w:p w:rsidR="00726DED" w:rsidRDefault="00726DED" w:rsidP="00E46D26"/>
    <w:sectPr w:rsidR="00726DED" w:rsidSect="001E16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DEF"/>
    <w:multiLevelType w:val="hybridMultilevel"/>
    <w:tmpl w:val="0FAC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F"/>
    <w:rsid w:val="00126338"/>
    <w:rsid w:val="001555D5"/>
    <w:rsid w:val="001A7BE7"/>
    <w:rsid w:val="001E16AE"/>
    <w:rsid w:val="001F439C"/>
    <w:rsid w:val="001F4525"/>
    <w:rsid w:val="001F7953"/>
    <w:rsid w:val="0023033D"/>
    <w:rsid w:val="002309C6"/>
    <w:rsid w:val="00255F86"/>
    <w:rsid w:val="002B0447"/>
    <w:rsid w:val="002C0517"/>
    <w:rsid w:val="002F2544"/>
    <w:rsid w:val="003055D5"/>
    <w:rsid w:val="00307042"/>
    <w:rsid w:val="003C7B01"/>
    <w:rsid w:val="00467956"/>
    <w:rsid w:val="005E73AF"/>
    <w:rsid w:val="005F7DCF"/>
    <w:rsid w:val="00635A97"/>
    <w:rsid w:val="00645E88"/>
    <w:rsid w:val="006D1270"/>
    <w:rsid w:val="006F24E7"/>
    <w:rsid w:val="00726DED"/>
    <w:rsid w:val="00743296"/>
    <w:rsid w:val="00757DB5"/>
    <w:rsid w:val="007F0F68"/>
    <w:rsid w:val="008461CD"/>
    <w:rsid w:val="0093535A"/>
    <w:rsid w:val="00A257DA"/>
    <w:rsid w:val="00A63F51"/>
    <w:rsid w:val="00A7552F"/>
    <w:rsid w:val="00B364F0"/>
    <w:rsid w:val="00B71692"/>
    <w:rsid w:val="00BA749F"/>
    <w:rsid w:val="00CB51E7"/>
    <w:rsid w:val="00D454A3"/>
    <w:rsid w:val="00DC7C47"/>
    <w:rsid w:val="00E21AD5"/>
    <w:rsid w:val="00E32960"/>
    <w:rsid w:val="00E46D26"/>
    <w:rsid w:val="00E95F19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D367B"/>
  <w15:chartTrackingRefBased/>
  <w15:docId w15:val="{BD67AB06-6926-4196-9BE5-9CF2254F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right" w:pos="12960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table" w:styleId="TableGrid">
    <w:name w:val="Table Grid"/>
    <w:basedOn w:val="TableNormal"/>
    <w:uiPriority w:val="59"/>
    <w:rsid w:val="00FF48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25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C</vt:lpstr>
    </vt:vector>
  </TitlesOfParts>
  <Company>University of Minnesota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C</dc:title>
  <dc:subject/>
  <dc:creator>ADCS Public Computer Labs East Bank</dc:creator>
  <cp:keywords/>
  <dc:description/>
  <cp:lastModifiedBy>Michael C Rodriguez</cp:lastModifiedBy>
  <cp:revision>2</cp:revision>
  <cp:lastPrinted>2001-06-05T17:07:00Z</cp:lastPrinted>
  <dcterms:created xsi:type="dcterms:W3CDTF">2017-10-26T16:15:00Z</dcterms:created>
  <dcterms:modified xsi:type="dcterms:W3CDTF">2017-10-26T16:15:00Z</dcterms:modified>
</cp:coreProperties>
</file>