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A6" w:rsidRPr="00060CF0" w:rsidRDefault="002A07A6" w:rsidP="002A07A6">
      <w:pPr>
        <w:jc w:val="center"/>
        <w:rPr>
          <w:b/>
        </w:rPr>
      </w:pPr>
      <w:r>
        <w:rPr>
          <w:b/>
        </w:rPr>
        <w:t xml:space="preserve">MCA &amp; NAEP </w:t>
      </w:r>
      <w:r w:rsidRPr="00060CF0">
        <w:rPr>
          <w:b/>
        </w:rPr>
        <w:t>Achievement Gaps</w:t>
      </w:r>
    </w:p>
    <w:p w:rsidR="002A07A6" w:rsidRPr="00060CF0" w:rsidRDefault="002A07A6" w:rsidP="002A07A6">
      <w:pPr>
        <w:jc w:val="center"/>
        <w:rPr>
          <w:b/>
        </w:rPr>
      </w:pPr>
      <w:r>
        <w:rPr>
          <w:b/>
        </w:rPr>
        <w:t>A Comparison of Measures and Metrics over Time</w:t>
      </w:r>
    </w:p>
    <w:p w:rsidR="002A07A6" w:rsidRDefault="002A07A6" w:rsidP="002A07A6">
      <w:pPr>
        <w:jc w:val="center"/>
      </w:pPr>
      <w:r>
        <w:t>Michael C. Rodriguez &amp; Kyle Nickodem</w:t>
      </w:r>
    </w:p>
    <w:p w:rsidR="002A07A6" w:rsidRDefault="002A07A6" w:rsidP="002A07A6">
      <w:pPr>
        <w:jc w:val="center"/>
      </w:pPr>
      <w:r>
        <w:t>University of Minnesota</w:t>
      </w:r>
    </w:p>
    <w:p w:rsidR="002A07A6" w:rsidRDefault="002A07A6" w:rsidP="002A07A6">
      <w:pPr>
        <w:jc w:val="center"/>
      </w:pPr>
      <w:r>
        <w:t>December 9, 2014</w:t>
      </w:r>
    </w:p>
    <w:p w:rsidR="002A07A6" w:rsidRDefault="002A07A6" w:rsidP="002A07A6"/>
    <w:p w:rsidR="00CA7B8F" w:rsidRDefault="00CA7B8F" w:rsidP="002A07A6"/>
    <w:p w:rsidR="00CA7B8F" w:rsidRDefault="00CA7B8F" w:rsidP="00680321">
      <w:pPr>
        <w:jc w:val="both"/>
      </w:pPr>
      <w:r>
        <w:t xml:space="preserve">This is a brief report on the racial/ethnic achievement gaps comparing 2013 MCA and </w:t>
      </w:r>
      <w:r w:rsidR="00EA25B7">
        <w:t xml:space="preserve">MN </w:t>
      </w:r>
      <w:r>
        <w:t xml:space="preserve">NAEP results using two different metrics, mean scores and percent proficient, reporting both in a common </w:t>
      </w:r>
      <w:r w:rsidR="00EA25B7">
        <w:t xml:space="preserve">standardized difference </w:t>
      </w:r>
      <w:r>
        <w:t>effect size.</w:t>
      </w:r>
      <w:r w:rsidR="00EA25B7" w:rsidRPr="00EA25B7">
        <w:t xml:space="preserve"> </w:t>
      </w:r>
      <w:r w:rsidR="00EA25B7">
        <w:t>MCA data were obtained from the MDE online Assessment and Growth Files</w:t>
      </w:r>
      <w:r w:rsidR="00EA25B7">
        <w:rPr>
          <w:rStyle w:val="FootnoteReference"/>
        </w:rPr>
        <w:footnoteReference w:id="1"/>
      </w:r>
      <w:r w:rsidR="00EA25B7">
        <w:t>, which contain test score means and SDs for subgroups</w:t>
      </w:r>
      <w:r w:rsidR="00EA25B7">
        <w:t>. The NAEP Data Explorer</w:t>
      </w:r>
      <w:r w:rsidR="00EA25B7">
        <w:rPr>
          <w:rStyle w:val="FootnoteReference"/>
        </w:rPr>
        <w:footnoteReference w:id="2"/>
      </w:r>
      <w:r w:rsidR="00EA25B7">
        <w:t xml:space="preserve"> was used to estimate </w:t>
      </w:r>
      <w:r w:rsidR="00EA25B7">
        <w:t>subgroup test</w:t>
      </w:r>
      <w:r w:rsidR="00EA25B7">
        <w:t xml:space="preserve"> means and SD</w:t>
      </w:r>
      <w:r w:rsidR="00EA25B7">
        <w:t>s</w:t>
      </w:r>
      <w:r w:rsidR="00EA25B7">
        <w:t>.</w:t>
      </w:r>
      <w:r w:rsidR="00EA25B7">
        <w:t xml:space="preserve"> The results reported here are based on the last NAEP administration, which occurred in 2013 in Reading and Mathematics with students in grades 4 and 8.</w:t>
      </w:r>
      <w:r w:rsidR="00680321">
        <w:t xml:space="preserve"> Data from 2009, 2011, and 2013 are examined.</w:t>
      </w:r>
    </w:p>
    <w:p w:rsidR="002A07A6" w:rsidRDefault="002A07A6" w:rsidP="002A07A6"/>
    <w:p w:rsidR="002A07A6" w:rsidRPr="0014352F" w:rsidRDefault="0014352F" w:rsidP="002A07A6">
      <w:pPr>
        <w:rPr>
          <w:b/>
          <w:i/>
        </w:rPr>
      </w:pPr>
      <w:r w:rsidRPr="0014352F">
        <w:rPr>
          <w:b/>
          <w:i/>
        </w:rPr>
        <w:t>Mean Score Differences</w:t>
      </w:r>
    </w:p>
    <w:p w:rsidR="0014352F" w:rsidRPr="0014352F" w:rsidRDefault="0014352F" w:rsidP="002A07A6">
      <w:pPr>
        <w:rPr>
          <w:b/>
          <w:sz w:val="16"/>
          <w:szCs w:val="16"/>
        </w:rPr>
      </w:pPr>
    </w:p>
    <w:p w:rsidR="002A07A6" w:rsidRDefault="00CA0163" w:rsidP="0068032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5FB4E" wp14:editId="31B68746">
                <wp:simplePos x="0" y="0"/>
                <wp:positionH relativeFrom="column">
                  <wp:posOffset>4636135</wp:posOffset>
                </wp:positionH>
                <wp:positionV relativeFrom="paragraph">
                  <wp:posOffset>-1905</wp:posOffset>
                </wp:positionV>
                <wp:extent cx="1535430" cy="1074420"/>
                <wp:effectExtent l="0" t="0" r="26670" b="1143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074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163" w:rsidRDefault="00CA0163" w:rsidP="00CA0163">
                            <w:pPr>
                              <w:jc w:val="center"/>
                            </w:pPr>
                            <w:r>
                              <w:t>Effect size:</w:t>
                            </w:r>
                          </w:p>
                          <w:p w:rsidR="00CA0163" w:rsidRPr="00CA0163" w:rsidRDefault="00CA0163" w:rsidP="00CA016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A0163" w:rsidRDefault="00CA0163" w:rsidP="00CA0163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d= </m:t>
                                </m:r>
                                <w:bookmarkStart w:id="0" w:name="_GoBack"/>
                                <w:bookmarkEnd w:id="0"/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̅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X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g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̅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X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W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SD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MN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365.05pt;margin-top:-.15pt;width:120.9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">
                <v:stroke joinstyle="miter"/>
                <v:textbox>
                  <w:txbxContent>
                    <w:p w:rsidR="00CA0163" w:rsidRDefault="00CA0163" w:rsidP="00CA0163">
                      <w:pPr>
                        <w:jc w:val="center"/>
                      </w:pPr>
                      <w:r>
                        <w:t>Effect size:</w:t>
                      </w:r>
                    </w:p>
                    <w:p w:rsidR="00CA0163" w:rsidRPr="00CA0163" w:rsidRDefault="00CA0163" w:rsidP="00CA016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CA0163" w:rsidRDefault="00CA0163" w:rsidP="00CA0163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d= </m:t>
                          </m:r>
                          <w:bookmarkStart w:id="1" w:name="_GoBack"/>
                          <w:bookmarkEnd w:id="1"/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W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MN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roundrect>
            </w:pict>
          </mc:Fallback>
        </mc:AlternateContent>
      </w:r>
      <w:r w:rsidR="00EA25B7">
        <w:t xml:space="preserve">Effect-size based achievement gaps </w:t>
      </w:r>
      <w:r>
        <w:t>a</w:t>
      </w:r>
      <w:r w:rsidR="00EA25B7">
        <w:t>re estimated t</w:t>
      </w:r>
      <w:r w:rsidR="002A07A6">
        <w:t xml:space="preserve">o facilitate comparison of </w:t>
      </w:r>
      <w:r w:rsidR="0014352F">
        <w:t xml:space="preserve">mean score </w:t>
      </w:r>
      <w:r w:rsidR="002A07A6">
        <w:t>differences in MCA</w:t>
      </w:r>
      <w:r w:rsidR="0014352F">
        <w:t xml:space="preserve"> and NAEP</w:t>
      </w:r>
      <w:r w:rsidR="002A07A6">
        <w:t xml:space="preserve"> </w:t>
      </w:r>
      <w:r>
        <w:t>subgroup performance</w:t>
      </w:r>
      <w:r w:rsidR="00EA25B7">
        <w:t>. Standardized</w:t>
      </w:r>
      <w:r w:rsidR="002A07A6">
        <w:t xml:space="preserve"> mean differences (Cohen’s </w:t>
      </w:r>
      <w:r w:rsidR="002A07A6" w:rsidRPr="004C31E9">
        <w:rPr>
          <w:i/>
        </w:rPr>
        <w:t>d</w:t>
      </w:r>
      <w:r w:rsidR="002A07A6">
        <w:t xml:space="preserve">) </w:t>
      </w:r>
      <w:r w:rsidR="00680321">
        <w:t>are computed</w:t>
      </w:r>
      <w:r w:rsidR="002A07A6">
        <w:t xml:space="preserve"> for each subgroup compared to White student</w:t>
      </w:r>
      <w:r w:rsidR="00EA25B7">
        <w:t>s</w:t>
      </w:r>
      <w:r>
        <w:t>,</w:t>
      </w:r>
      <w:r w:rsidR="002A07A6">
        <w:t xml:space="preserve"> by taking the mean difference between each subgroup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2A07A6">
        <w:t>) and the White reference group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="002A07A6">
        <w:t>) divided by the state</w:t>
      </w:r>
      <w:r w:rsidR="0014352F">
        <w:t>wide</w:t>
      </w:r>
      <w:r w:rsidR="002A07A6">
        <w:t xml:space="preserve"> standard dev</w:t>
      </w:r>
      <w:r w:rsidR="00680321">
        <w:t>iation for that grade and test.</w:t>
      </w:r>
    </w:p>
    <w:p w:rsidR="0014352F" w:rsidRPr="00680321" w:rsidRDefault="0014352F" w:rsidP="002A07A6"/>
    <w:p w:rsidR="002A07A6" w:rsidRDefault="00CA0163" w:rsidP="00680321">
      <w:pPr>
        <w:jc w:val="both"/>
      </w:pPr>
      <w:r>
        <w:t>This puts each difference in a common metric, in terms of standard deviations of difference in mean scores (</w:t>
      </w:r>
      <w:r>
        <w:rPr>
          <w:i/>
        </w:rPr>
        <w:t>d</w:t>
      </w:r>
      <w:r>
        <w:t xml:space="preserve">). For example, </w:t>
      </w:r>
      <w:r>
        <w:rPr>
          <w:i/>
        </w:rPr>
        <w:t>d</w:t>
      </w:r>
      <w:r>
        <w:t xml:space="preserve"> = 0.50 indicates a half SD difference in scores; </w:t>
      </w:r>
      <w:r>
        <w:rPr>
          <w:i/>
        </w:rPr>
        <w:t>d</w:t>
      </w:r>
      <w:r>
        <w:t xml:space="preserve"> = 1.20 indicates a score difference of 1.20 SDs.</w:t>
      </w:r>
      <w:r>
        <w:t xml:space="preserve"> </w:t>
      </w:r>
      <w:r w:rsidR="0014352F">
        <w:t xml:space="preserve">The </w:t>
      </w:r>
      <w:r w:rsidR="00680321">
        <w:rPr>
          <w:i/>
        </w:rPr>
        <w:t>d</w:t>
      </w:r>
      <w:r w:rsidR="00680321">
        <w:t xml:space="preserve"> effect size</w:t>
      </w:r>
      <w:r w:rsidR="0014352F">
        <w:t xml:space="preserve"> puts all gap estimates on a common metric, since different tests for different grades in different years result in different scales </w:t>
      </w:r>
      <w:r w:rsidR="00680321">
        <w:t>(SDs)</w:t>
      </w:r>
      <w:r w:rsidR="0014352F">
        <w:t>.</w:t>
      </w:r>
    </w:p>
    <w:p w:rsidR="002A07A6" w:rsidRDefault="002A07A6" w:rsidP="002A07A6"/>
    <w:p w:rsidR="002A07A6" w:rsidRPr="0014352F" w:rsidRDefault="0014352F" w:rsidP="002A07A6">
      <w:pPr>
        <w:rPr>
          <w:b/>
          <w:i/>
        </w:rPr>
      </w:pPr>
      <w:r w:rsidRPr="0014352F">
        <w:rPr>
          <w:b/>
          <w:i/>
        </w:rPr>
        <w:t>Proportion Proficient Differences</w:t>
      </w:r>
    </w:p>
    <w:p w:rsidR="0014352F" w:rsidRPr="0014352F" w:rsidRDefault="0014352F" w:rsidP="002A07A6">
      <w:pPr>
        <w:rPr>
          <w:b/>
          <w:sz w:val="16"/>
          <w:szCs w:val="16"/>
        </w:rPr>
      </w:pPr>
    </w:p>
    <w:p w:rsidR="0014352F" w:rsidRDefault="002A07A6" w:rsidP="00680321">
      <w:pPr>
        <w:jc w:val="both"/>
      </w:pPr>
      <w:r>
        <w:t xml:space="preserve">Assuming an underlying normal distribution,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  <w:r>
        <w:t xml:space="preserve"> will be an unbiased estimator of the population standardized mean difference in </w:t>
      </w:r>
      <w:r w:rsidR="00680321">
        <w:t xml:space="preserve">dichotomized </w:t>
      </w:r>
      <w:r>
        <w:t>performance</w:t>
      </w:r>
      <w:r w:rsidR="00680321">
        <w:t xml:space="preserve"> (e.g., proficient/not proficient)</w:t>
      </w:r>
      <w:r>
        <w:t>, and this estimator behaved well under controlled simulation in comparison to six other estimators</w:t>
      </w:r>
      <w:r>
        <w:rPr>
          <w:rStyle w:val="FootnoteReference"/>
        </w:rPr>
        <w:footnoteReference w:id="3"/>
      </w:r>
      <w:r>
        <w:t>. The standardized proportion difference effect size (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  <w:r>
        <w:t xml:space="preserve">) was computed using the </w:t>
      </w:r>
      <w:r w:rsidRPr="00CA7B8F">
        <w:rPr>
          <w:i/>
        </w:rPr>
        <w:t>Practical Meta-Analysis Effect Size Calculator</w:t>
      </w:r>
      <w:r>
        <w:rPr>
          <w:rStyle w:val="FootnoteReference"/>
        </w:rPr>
        <w:footnoteReference w:id="4"/>
      </w:r>
      <w:r>
        <w:t>.</w:t>
      </w:r>
    </w:p>
    <w:p w:rsidR="002A07A6" w:rsidRDefault="002A07A6">
      <w:r>
        <w:br w:type="page"/>
      </w:r>
    </w:p>
    <w:p w:rsidR="002A07A6" w:rsidRPr="002A07A6" w:rsidRDefault="002A07A6" w:rsidP="00DD4B0E">
      <w:pPr>
        <w:pBdr>
          <w:top w:val="single" w:sz="4" w:space="1" w:color="auto"/>
          <w:bottom w:val="single" w:sz="4" w:space="1" w:color="auto"/>
        </w:pBdr>
        <w:rPr>
          <w:b/>
          <w:i/>
        </w:rPr>
      </w:pPr>
      <w:r w:rsidRPr="002A07A6">
        <w:rPr>
          <w:b/>
        </w:rPr>
        <w:lastRenderedPageBreak/>
        <w:t xml:space="preserve">MCA Standardized Mean Differences: </w:t>
      </w:r>
      <w:r w:rsidRPr="002A07A6">
        <w:rPr>
          <w:b/>
          <w:i/>
        </w:rPr>
        <w:t>d</w:t>
      </w:r>
    </w:p>
    <w:p w:rsidR="002A07A6" w:rsidRDefault="002A07A6" w:rsidP="002A07A6"/>
    <w:p w:rsidR="002A07A6" w:rsidRDefault="002A07A6" w:rsidP="002A07A6"/>
    <w:p w:rsidR="00DD4B0E" w:rsidRDefault="00DD4B0E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</w:t>
      </w:r>
      <w:r w:rsidRPr="00060CF0">
        <w:rPr>
          <w:b/>
          <w:i/>
        </w:rPr>
        <w:t xml:space="preserve"> 2013 </w:t>
      </w:r>
      <w:r>
        <w:rPr>
          <w:b/>
          <w:i/>
        </w:rPr>
        <w:t>Mean Scale Scores</w:t>
      </w:r>
      <w:r w:rsidRPr="00060CF0">
        <w:rPr>
          <w:b/>
          <w:i/>
        </w:rPr>
        <w:t xml:space="preserve"> by Race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453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853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461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853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440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839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445</w:t>
            </w:r>
          </w:p>
        </w:tc>
        <w:tc>
          <w:tcPr>
            <w:tcW w:w="1916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841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441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841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447</w:t>
            </w:r>
          </w:p>
        </w:tc>
        <w:tc>
          <w:tcPr>
            <w:tcW w:w="1916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843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448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846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457</w:t>
            </w:r>
          </w:p>
        </w:tc>
        <w:tc>
          <w:tcPr>
            <w:tcW w:w="1916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852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441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448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841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State SD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18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18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14</w:t>
            </w:r>
          </w:p>
        </w:tc>
      </w:tr>
    </w:tbl>
    <w:p w:rsidR="002A07A6" w:rsidRDefault="002A07A6" w:rsidP="002A07A6"/>
    <w:p w:rsidR="002A07A6" w:rsidRDefault="002A07A6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</w:t>
      </w:r>
      <w:r w:rsidRPr="00060CF0">
        <w:rPr>
          <w:b/>
          <w:i/>
        </w:rPr>
        <w:t xml:space="preserve"> 2013</w:t>
      </w:r>
      <w:r>
        <w:rPr>
          <w:b/>
          <w:i/>
        </w:rPr>
        <w:t xml:space="preserve"> Racial Achievement Gaps based on the Standardized Mean Difference</w:t>
      </w:r>
      <w:r w:rsidRPr="00060CF0">
        <w:rPr>
          <w:b/>
          <w:i/>
        </w:rPr>
        <w:t xml:space="preserve"> </w:t>
      </w:r>
      <w:r w:rsidRPr="00F01BA9">
        <w:rPr>
          <w:b/>
          <w:i/>
        </w:rPr>
        <w:t>d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-0.81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-0.78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-0.86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-0.90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-0.74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-0.69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-0.75</w:t>
            </w:r>
          </w:p>
        </w:tc>
        <w:tc>
          <w:tcPr>
            <w:tcW w:w="1916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-0.74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-0.33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-0.37</w:t>
            </w:r>
          </w:p>
        </w:tc>
        <w:tc>
          <w:tcPr>
            <w:tcW w:w="1915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-0.20</w:t>
            </w:r>
          </w:p>
        </w:tc>
        <w:tc>
          <w:tcPr>
            <w:tcW w:w="1916" w:type="dxa"/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-0.10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-0.73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-0.74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-0.74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2A07A6" w:rsidRPr="00816948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16948">
              <w:rPr>
                <w:color w:val="000000"/>
                <w:szCs w:val="22"/>
              </w:rPr>
              <w:t>-0.89</w:t>
            </w:r>
          </w:p>
        </w:tc>
      </w:tr>
    </w:tbl>
    <w:p w:rsidR="002A07A6" w:rsidRDefault="002A07A6" w:rsidP="002A07A6"/>
    <w:p w:rsidR="002A07A6" w:rsidRDefault="002A07A6" w:rsidP="002A07A6"/>
    <w:p w:rsidR="00DD4B0E" w:rsidRDefault="00DD4B0E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 2011</w:t>
      </w:r>
      <w:r w:rsidRPr="00060CF0">
        <w:rPr>
          <w:b/>
          <w:i/>
        </w:rPr>
        <w:t xml:space="preserve"> </w:t>
      </w:r>
      <w:r>
        <w:rPr>
          <w:b/>
          <w:i/>
        </w:rPr>
        <w:t>Mean Scale Scores</w:t>
      </w:r>
      <w:r w:rsidRPr="00060CF0">
        <w:rPr>
          <w:b/>
          <w:i/>
        </w:rPr>
        <w:t xml:space="preserve"> by Race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4F4305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4F4305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4F4305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2A07A6" w:rsidRPr="004F4305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449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846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444</w:t>
            </w:r>
          </w:p>
        </w:tc>
        <w:tc>
          <w:tcPr>
            <w:tcW w:w="1916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840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450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848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446</w:t>
            </w:r>
          </w:p>
        </w:tc>
        <w:tc>
          <w:tcPr>
            <w:tcW w:w="1916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842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456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853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456</w:t>
            </w:r>
          </w:p>
        </w:tc>
        <w:tc>
          <w:tcPr>
            <w:tcW w:w="1916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850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450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848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447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840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State SD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Pr="004F4305" w:rsidRDefault="002A07A6" w:rsidP="00F12AF7">
            <w:pPr>
              <w:jc w:val="center"/>
            </w:pPr>
            <w:r>
              <w:t>16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Pr="004F4305" w:rsidRDefault="002A07A6" w:rsidP="00F12AF7">
            <w:pPr>
              <w:jc w:val="center"/>
            </w:pPr>
            <w:r>
              <w:t>14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Pr="004F4305" w:rsidRDefault="002A07A6" w:rsidP="00F12AF7">
            <w:pPr>
              <w:jc w:val="center"/>
            </w:pPr>
            <w:r>
              <w:t>18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A07A6" w:rsidRPr="004F4305" w:rsidRDefault="002A07A6" w:rsidP="00F12AF7">
            <w:pPr>
              <w:jc w:val="center"/>
            </w:pPr>
            <w:r>
              <w:t>14</w:t>
            </w:r>
          </w:p>
        </w:tc>
      </w:tr>
    </w:tbl>
    <w:p w:rsidR="002A07A6" w:rsidRDefault="002A07A6" w:rsidP="002A07A6"/>
    <w:p w:rsidR="002A07A6" w:rsidRDefault="002A07A6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 2011 Racial Achievement Gaps based on the Standardized Mean Difference</w:t>
      </w:r>
      <w:r w:rsidRPr="00060CF0">
        <w:rPr>
          <w:b/>
          <w:i/>
        </w:rPr>
        <w:t xml:space="preserve"> </w:t>
      </w:r>
      <w:r w:rsidRPr="00F01BA9">
        <w:rPr>
          <w:b/>
          <w:i/>
        </w:rPr>
        <w:t>d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-0.77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-0.77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-0.86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-0.89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-0.74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-0.69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-0.76</w:t>
            </w:r>
          </w:p>
        </w:tc>
        <w:tc>
          <w:tcPr>
            <w:tcW w:w="1916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-0.73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-0.37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-0.30</w:t>
            </w:r>
          </w:p>
        </w:tc>
        <w:tc>
          <w:tcPr>
            <w:tcW w:w="1915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-0.18</w:t>
            </w:r>
          </w:p>
        </w:tc>
        <w:tc>
          <w:tcPr>
            <w:tcW w:w="1916" w:type="dxa"/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-0.15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-0.71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-0.69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-0.73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2A07A6" w:rsidRPr="00663B13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663B13">
              <w:rPr>
                <w:color w:val="000000"/>
                <w:szCs w:val="22"/>
              </w:rPr>
              <w:t>-0.89</w:t>
            </w:r>
          </w:p>
        </w:tc>
      </w:tr>
    </w:tbl>
    <w:p w:rsidR="002A07A6" w:rsidRDefault="002A07A6" w:rsidP="002A07A6"/>
    <w:p w:rsidR="00F12AF7" w:rsidRDefault="00F12AF7">
      <w:r>
        <w:br w:type="page"/>
      </w:r>
    </w:p>
    <w:p w:rsidR="002A07A6" w:rsidRDefault="002A07A6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 2009</w:t>
      </w:r>
      <w:r w:rsidRPr="00060CF0">
        <w:rPr>
          <w:b/>
          <w:i/>
        </w:rPr>
        <w:t xml:space="preserve"> </w:t>
      </w:r>
      <w:r>
        <w:rPr>
          <w:b/>
          <w:i/>
        </w:rPr>
        <w:t>Mean Scale Scores</w:t>
      </w:r>
      <w:r w:rsidRPr="00060CF0">
        <w:rPr>
          <w:b/>
          <w:i/>
        </w:rPr>
        <w:t xml:space="preserve"> by Race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4F4305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4F4305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4F4305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2A07A6" w:rsidRPr="004F4305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447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844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448</w:t>
            </w:r>
          </w:p>
        </w:tc>
        <w:tc>
          <w:tcPr>
            <w:tcW w:w="1916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840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448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846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452</w:t>
            </w:r>
          </w:p>
        </w:tc>
        <w:tc>
          <w:tcPr>
            <w:tcW w:w="1916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844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454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851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459</w:t>
            </w:r>
          </w:p>
        </w:tc>
        <w:tc>
          <w:tcPr>
            <w:tcW w:w="1916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853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450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847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450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842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State SD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Pr="004F4305" w:rsidRDefault="002A07A6" w:rsidP="00F12AF7">
            <w:pPr>
              <w:jc w:val="center"/>
            </w:pPr>
            <w:r>
              <w:t>16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Pr="004F4305" w:rsidRDefault="002A07A6" w:rsidP="00F12AF7">
            <w:pPr>
              <w:jc w:val="center"/>
            </w:pPr>
            <w:r>
              <w:t>14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Pr="004F4305" w:rsidRDefault="002A07A6" w:rsidP="00F12AF7">
            <w:pPr>
              <w:jc w:val="center"/>
            </w:pPr>
            <w:r>
              <w:t>13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A07A6" w:rsidRPr="004F4305" w:rsidRDefault="002A07A6" w:rsidP="00F12AF7">
            <w:pPr>
              <w:jc w:val="center"/>
            </w:pPr>
            <w:r>
              <w:t>15</w:t>
            </w:r>
          </w:p>
        </w:tc>
      </w:tr>
    </w:tbl>
    <w:p w:rsidR="002A07A6" w:rsidRDefault="002A07A6" w:rsidP="002A07A6"/>
    <w:p w:rsidR="002A07A6" w:rsidRDefault="002A07A6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 2009 Racial Achievement Gaps based on the Standardized Mean Difference</w:t>
      </w:r>
      <w:r w:rsidRPr="00060CF0">
        <w:rPr>
          <w:b/>
          <w:i/>
        </w:rPr>
        <w:t xml:space="preserve"> </w:t>
      </w:r>
      <w:r w:rsidRPr="00F01BA9">
        <w:rPr>
          <w:b/>
          <w:i/>
        </w:rPr>
        <w:t>d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-0.85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-0.83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-0.89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-0.97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-0.82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-0.75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-0.58</w:t>
            </w:r>
          </w:p>
        </w:tc>
        <w:tc>
          <w:tcPr>
            <w:tcW w:w="1916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-0.68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-0.43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-0.36</w:t>
            </w:r>
          </w:p>
        </w:tc>
        <w:tc>
          <w:tcPr>
            <w:tcW w:w="1915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-0.04</w:t>
            </w:r>
          </w:p>
        </w:tc>
        <w:tc>
          <w:tcPr>
            <w:tcW w:w="1916" w:type="dxa"/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-0.05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-0.71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-0.68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-0.71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2A07A6" w:rsidRPr="008B28CA" w:rsidRDefault="002A07A6" w:rsidP="00F12AF7">
            <w:pPr>
              <w:jc w:val="center"/>
              <w:rPr>
                <w:color w:val="000000"/>
                <w:szCs w:val="22"/>
              </w:rPr>
            </w:pPr>
            <w:r w:rsidRPr="008B28CA">
              <w:rPr>
                <w:color w:val="000000"/>
                <w:szCs w:val="22"/>
              </w:rPr>
              <w:t>-0.82</w:t>
            </w:r>
          </w:p>
        </w:tc>
      </w:tr>
    </w:tbl>
    <w:p w:rsidR="002A07A6" w:rsidRDefault="002A07A6" w:rsidP="002A07A6"/>
    <w:p w:rsidR="002A07A6" w:rsidRDefault="002A07A6">
      <w:r>
        <w:br w:type="page"/>
      </w:r>
    </w:p>
    <w:p w:rsidR="002A07A6" w:rsidRPr="002A07A6" w:rsidRDefault="002A07A6" w:rsidP="00DD4B0E">
      <w:pPr>
        <w:pBdr>
          <w:top w:val="single" w:sz="4" w:space="1" w:color="auto"/>
          <w:bottom w:val="single" w:sz="4" w:space="1" w:color="auto"/>
        </w:pBdr>
        <w:rPr>
          <w:b/>
          <w:i/>
        </w:rPr>
      </w:pPr>
      <w:r w:rsidRPr="002A07A6">
        <w:rPr>
          <w:b/>
        </w:rPr>
        <w:t xml:space="preserve">MCA Standardized </w:t>
      </w:r>
      <w:r>
        <w:rPr>
          <w:b/>
        </w:rPr>
        <w:t xml:space="preserve">Proportion </w:t>
      </w:r>
      <w:r w:rsidRPr="002A07A6">
        <w:rPr>
          <w:b/>
        </w:rPr>
        <w:t xml:space="preserve">Differences: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</w:p>
    <w:p w:rsidR="002A07A6" w:rsidRPr="00EA25B7" w:rsidRDefault="002A07A6" w:rsidP="002A07A6">
      <w:pPr>
        <w:rPr>
          <w:i/>
        </w:rPr>
      </w:pPr>
    </w:p>
    <w:p w:rsidR="00DD4B0E" w:rsidRPr="00EA25B7" w:rsidRDefault="00DD4B0E" w:rsidP="002A07A6">
      <w:pPr>
        <w:rPr>
          <w:i/>
        </w:rPr>
      </w:pPr>
    </w:p>
    <w:p w:rsidR="002A07A6" w:rsidRPr="00EA25B7" w:rsidRDefault="002A07A6" w:rsidP="002A07A6">
      <w:pPr>
        <w:rPr>
          <w:i/>
        </w:rPr>
      </w:pPr>
    </w:p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</w:t>
      </w:r>
      <w:r w:rsidRPr="00060CF0">
        <w:rPr>
          <w:b/>
          <w:i/>
        </w:rPr>
        <w:t xml:space="preserve"> 2013 Proportion Proficient or Higher by Race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.62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.61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.79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.66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.29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.29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.44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.29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.31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.31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.48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.34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.47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.44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.69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.60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.29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.31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.49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.29</w:t>
            </w:r>
          </w:p>
        </w:tc>
      </w:tr>
    </w:tbl>
    <w:p w:rsidR="002A07A6" w:rsidRDefault="002A07A6" w:rsidP="002A07A6"/>
    <w:p w:rsidR="002A07A6" w:rsidRDefault="002A07A6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</w:t>
      </w:r>
      <w:r w:rsidRPr="00060CF0">
        <w:rPr>
          <w:b/>
          <w:i/>
        </w:rPr>
        <w:t xml:space="preserve"> 2013</w:t>
      </w:r>
      <w:r>
        <w:rPr>
          <w:b/>
          <w:i/>
        </w:rPr>
        <w:t xml:space="preserve"> Racial Achievement Gaps based on the Standardized Proportion Difference</w:t>
      </w:r>
      <w:r w:rsidRPr="00060CF0">
        <w:rPr>
          <w:b/>
          <w:i/>
        </w:rPr>
        <w:t xml:space="preserve">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  <w:r>
        <w:t xml:space="preserve"> 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-0.86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-0.96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-0.97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-0.80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-0.78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-0.86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-0.82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-0.38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-0.43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-0.31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-0.16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-0.78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-0.97</w:t>
            </w:r>
          </w:p>
        </w:tc>
      </w:tr>
    </w:tbl>
    <w:p w:rsidR="002A07A6" w:rsidRDefault="002A07A6" w:rsidP="002A07A6"/>
    <w:p w:rsidR="002A07A6" w:rsidRDefault="002A07A6" w:rsidP="002A07A6"/>
    <w:p w:rsidR="00DD4B0E" w:rsidRDefault="00DD4B0E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</w:t>
      </w:r>
      <w:r w:rsidRPr="00060CF0">
        <w:rPr>
          <w:b/>
          <w:i/>
        </w:rPr>
        <w:t xml:space="preserve"> 2</w:t>
      </w:r>
      <w:r>
        <w:rPr>
          <w:b/>
          <w:i/>
        </w:rPr>
        <w:t>011</w:t>
      </w:r>
      <w:r w:rsidRPr="00060CF0">
        <w:rPr>
          <w:b/>
          <w:i/>
        </w:rPr>
        <w:t xml:space="preserve"> Proportion Proficient or Higher by Race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.82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.74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.75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.60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.53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.43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.40</w:t>
            </w:r>
          </w:p>
        </w:tc>
        <w:tc>
          <w:tcPr>
            <w:tcW w:w="1916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.25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.53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.46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.44</w:t>
            </w:r>
          </w:p>
        </w:tc>
        <w:tc>
          <w:tcPr>
            <w:tcW w:w="1916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.28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.66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.61</w:t>
            </w:r>
          </w:p>
        </w:tc>
        <w:tc>
          <w:tcPr>
            <w:tcW w:w="1915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.66</w:t>
            </w:r>
          </w:p>
        </w:tc>
        <w:tc>
          <w:tcPr>
            <w:tcW w:w="1916" w:type="dxa"/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867A6C">
              <w:rPr>
                <w:color w:val="000000"/>
              </w:rPr>
              <w:t>52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.56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.46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.44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2A07A6" w:rsidRPr="00867A6C" w:rsidRDefault="002A07A6" w:rsidP="00F12AF7">
            <w:pPr>
              <w:jc w:val="center"/>
              <w:rPr>
                <w:color w:val="000000"/>
              </w:rPr>
            </w:pPr>
            <w:r w:rsidRPr="00867A6C">
              <w:rPr>
                <w:color w:val="000000"/>
              </w:rPr>
              <w:t>.24</w:t>
            </w:r>
          </w:p>
        </w:tc>
      </w:tr>
    </w:tbl>
    <w:p w:rsidR="002A07A6" w:rsidRDefault="002A07A6" w:rsidP="002A07A6"/>
    <w:p w:rsidR="002A07A6" w:rsidRDefault="002A07A6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</w:t>
      </w:r>
      <w:r w:rsidRPr="00060CF0">
        <w:rPr>
          <w:b/>
          <w:i/>
        </w:rPr>
        <w:t xml:space="preserve"> 201</w:t>
      </w:r>
      <w:r>
        <w:rPr>
          <w:b/>
          <w:i/>
        </w:rPr>
        <w:t>1 Racial Achievement Gaps based on the Standardized Proportion Difference</w:t>
      </w:r>
      <w:r w:rsidRPr="00060CF0">
        <w:rPr>
          <w:b/>
          <w:i/>
        </w:rPr>
        <w:t xml:space="preserve">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  <w:r>
        <w:t xml:space="preserve"> 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-0.84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-0.93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-0.93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-0.84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-0.74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-0.83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-0.84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-0.50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-0.36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-0.26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-0.20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-0.76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-0.74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-0.96</w:t>
            </w:r>
          </w:p>
        </w:tc>
      </w:tr>
    </w:tbl>
    <w:p w:rsidR="002A07A6" w:rsidRDefault="002A07A6" w:rsidP="002A07A6">
      <w:pPr>
        <w:rPr>
          <w:b/>
          <w:i/>
        </w:rPr>
      </w:pPr>
    </w:p>
    <w:p w:rsidR="00F12AF7" w:rsidRDefault="00F12AF7">
      <w:pPr>
        <w:rPr>
          <w:b/>
          <w:i/>
        </w:rPr>
      </w:pPr>
      <w:r>
        <w:rPr>
          <w:b/>
          <w:i/>
        </w:rPr>
        <w:br w:type="page"/>
      </w:r>
    </w:p>
    <w:p w:rsidR="002A07A6" w:rsidRDefault="002A07A6" w:rsidP="002A07A6">
      <w:pPr>
        <w:rPr>
          <w:b/>
          <w:i/>
        </w:rPr>
      </w:pPr>
    </w:p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</w:t>
      </w:r>
      <w:r w:rsidRPr="00060CF0">
        <w:rPr>
          <w:b/>
          <w:i/>
        </w:rPr>
        <w:t xml:space="preserve"> 2</w:t>
      </w:r>
      <w:r>
        <w:rPr>
          <w:b/>
          <w:i/>
        </w:rPr>
        <w:t>009</w:t>
      </w:r>
      <w:r w:rsidRPr="00060CF0">
        <w:rPr>
          <w:b/>
          <w:i/>
        </w:rPr>
        <w:t xml:space="preserve"> Proportion Proficient or Higher by Race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.82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.74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.80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.65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.49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.38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.45</w:t>
            </w:r>
          </w:p>
        </w:tc>
        <w:tc>
          <w:tcPr>
            <w:tcW w:w="1916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.25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.49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.41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.58</w:t>
            </w:r>
          </w:p>
        </w:tc>
        <w:tc>
          <w:tcPr>
            <w:tcW w:w="1916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.35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.63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.55</w:t>
            </w:r>
          </w:p>
        </w:tc>
        <w:tc>
          <w:tcPr>
            <w:tcW w:w="1915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.76</w:t>
            </w:r>
          </w:p>
        </w:tc>
        <w:tc>
          <w:tcPr>
            <w:tcW w:w="1916" w:type="dxa"/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.61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.54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.43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.54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2A07A6" w:rsidRPr="00EF077A" w:rsidRDefault="002A07A6" w:rsidP="00F12AF7">
            <w:pPr>
              <w:jc w:val="center"/>
              <w:rPr>
                <w:color w:val="000000"/>
              </w:rPr>
            </w:pPr>
            <w:r w:rsidRPr="00EF077A">
              <w:rPr>
                <w:color w:val="000000"/>
              </w:rPr>
              <w:t>.31</w:t>
            </w:r>
          </w:p>
        </w:tc>
      </w:tr>
    </w:tbl>
    <w:p w:rsidR="002A07A6" w:rsidRDefault="002A07A6" w:rsidP="002A07A6"/>
    <w:p w:rsidR="002A07A6" w:rsidRDefault="002A07A6" w:rsidP="002A07A6"/>
    <w:p w:rsidR="002A07A6" w:rsidRPr="00060CF0" w:rsidRDefault="002A07A6" w:rsidP="002A07A6">
      <w:pPr>
        <w:rPr>
          <w:b/>
          <w:i/>
        </w:rPr>
      </w:pPr>
      <w:r>
        <w:rPr>
          <w:b/>
          <w:i/>
        </w:rPr>
        <w:t>MCA 2009 Racial Achievement Gaps based on the Standardized Proportion Difference</w:t>
      </w:r>
      <w:r w:rsidRPr="00060CF0">
        <w:rPr>
          <w:b/>
          <w:i/>
        </w:rPr>
        <w:t xml:space="preserve">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  <w:r>
        <w:t xml:space="preserve"> </w:t>
      </w:r>
    </w:p>
    <w:p w:rsidR="002A07A6" w:rsidRDefault="002A07A6" w:rsidP="002A07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A07A6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Math 8</w:t>
            </w:r>
          </w:p>
        </w:tc>
      </w:tr>
      <w:tr w:rsidR="002A07A6" w:rsidTr="00F12AF7"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-0.94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-0.95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-0.97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-1.06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Hispanic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-0.94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-0.87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-0.64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-0.77</w:t>
            </w:r>
          </w:p>
        </w:tc>
      </w:tr>
      <w:tr w:rsidR="002A07A6" w:rsidTr="00F12AF7">
        <w:tc>
          <w:tcPr>
            <w:tcW w:w="1915" w:type="dxa"/>
          </w:tcPr>
          <w:p w:rsidR="002A07A6" w:rsidRDefault="002A07A6" w:rsidP="00F12AF7">
            <w:r>
              <w:t>Asian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-0.58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-0.52</w:t>
            </w:r>
          </w:p>
        </w:tc>
        <w:tc>
          <w:tcPr>
            <w:tcW w:w="1915" w:type="dxa"/>
          </w:tcPr>
          <w:p w:rsidR="002A07A6" w:rsidRDefault="002A07A6" w:rsidP="00F12AF7">
            <w:pPr>
              <w:jc w:val="center"/>
            </w:pPr>
            <w:r>
              <w:t>-0.14</w:t>
            </w:r>
          </w:p>
        </w:tc>
        <w:tc>
          <w:tcPr>
            <w:tcW w:w="1916" w:type="dxa"/>
          </w:tcPr>
          <w:p w:rsidR="002A07A6" w:rsidRDefault="002A07A6" w:rsidP="00F12AF7">
            <w:pPr>
              <w:jc w:val="center"/>
            </w:pPr>
            <w:r>
              <w:t>-0.11</w:t>
            </w:r>
          </w:p>
        </w:tc>
      </w:tr>
      <w:tr w:rsidR="002A07A6" w:rsidTr="00F12AF7"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r>
              <w:t>American Indian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-0.74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A07A6" w:rsidRDefault="002A07A6" w:rsidP="00F12AF7">
            <w:pPr>
              <w:jc w:val="center"/>
            </w:pPr>
            <w:r>
              <w:t>-0.88</w:t>
            </w:r>
          </w:p>
        </w:tc>
      </w:tr>
    </w:tbl>
    <w:p w:rsidR="002A07A6" w:rsidRDefault="002A07A6" w:rsidP="002A07A6">
      <w:pPr>
        <w:rPr>
          <w:b/>
          <w:i/>
        </w:rPr>
      </w:pPr>
    </w:p>
    <w:p w:rsidR="002A07A6" w:rsidRDefault="002A07A6">
      <w:r>
        <w:br w:type="page"/>
      </w:r>
    </w:p>
    <w:p w:rsidR="00F12AF7" w:rsidRPr="002A07A6" w:rsidRDefault="00F12AF7" w:rsidP="00DD4B0E">
      <w:pPr>
        <w:pBdr>
          <w:top w:val="single" w:sz="4" w:space="1" w:color="auto"/>
          <w:bottom w:val="single" w:sz="4" w:space="1" w:color="auto"/>
        </w:pBdr>
        <w:rPr>
          <w:b/>
          <w:i/>
        </w:rPr>
      </w:pPr>
      <w:r>
        <w:rPr>
          <w:b/>
        </w:rPr>
        <w:t>NAEP</w:t>
      </w:r>
      <w:r w:rsidRPr="002A07A6">
        <w:rPr>
          <w:b/>
        </w:rPr>
        <w:t xml:space="preserve"> Standardized </w:t>
      </w:r>
      <w:r>
        <w:rPr>
          <w:b/>
        </w:rPr>
        <w:t xml:space="preserve">Mean </w:t>
      </w:r>
      <w:r w:rsidRPr="002A07A6">
        <w:rPr>
          <w:b/>
        </w:rPr>
        <w:t xml:space="preserve">Differences: </w:t>
      </w:r>
      <w:r w:rsidRPr="00F01BA9">
        <w:rPr>
          <w:b/>
          <w:i/>
        </w:rPr>
        <w:t>d</w:t>
      </w:r>
    </w:p>
    <w:p w:rsidR="00F12AF7" w:rsidRDefault="00F12AF7"/>
    <w:p w:rsidR="00F12AF7" w:rsidRDefault="00F12AF7" w:rsidP="00F12AF7"/>
    <w:p w:rsidR="00DD4B0E" w:rsidRDefault="00DD4B0E" w:rsidP="00F12AF7"/>
    <w:p w:rsidR="00F12AF7" w:rsidRPr="00060CF0" w:rsidRDefault="00F12AF7" w:rsidP="00F12AF7">
      <w:pPr>
        <w:rPr>
          <w:b/>
          <w:i/>
        </w:rPr>
      </w:pPr>
      <w:r w:rsidRPr="00060CF0">
        <w:rPr>
          <w:b/>
          <w:i/>
        </w:rPr>
        <w:t xml:space="preserve">NAEP 2013 </w:t>
      </w:r>
      <w:r>
        <w:rPr>
          <w:b/>
          <w:i/>
        </w:rPr>
        <w:t>Mean Scale Scores</w:t>
      </w:r>
      <w:r w:rsidRPr="00060CF0">
        <w:rPr>
          <w:b/>
          <w:i/>
        </w:rPr>
        <w:t xml:space="preserve"> by Race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223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227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259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301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208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248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232</w:t>
            </w:r>
          </w:p>
        </w:tc>
        <w:tc>
          <w:tcPr>
            <w:tcW w:w="1916" w:type="dxa"/>
          </w:tcPr>
          <w:p w:rsidR="00F12AF7" w:rsidRDefault="00F12AF7" w:rsidP="00F12AF7">
            <w:pPr>
              <w:jc w:val="center"/>
            </w:pPr>
            <w:r>
              <w:t>260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207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251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234</w:t>
            </w:r>
          </w:p>
        </w:tc>
        <w:tc>
          <w:tcPr>
            <w:tcW w:w="1916" w:type="dxa"/>
          </w:tcPr>
          <w:p w:rsidR="00F12AF7" w:rsidRDefault="00F12AF7" w:rsidP="00F12AF7">
            <w:pPr>
              <w:jc w:val="center"/>
            </w:pPr>
            <w:r>
              <w:t>273</w:t>
            </w:r>
          </w:p>
        </w:tc>
      </w:tr>
      <w:tr w:rsidR="00F12AF7" w:rsidTr="00DD4B0E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223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266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250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291</w:t>
            </w:r>
          </w:p>
        </w:tc>
      </w:tr>
      <w:tr w:rsidR="00F12AF7" w:rsidTr="00DD4B0E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r>
              <w:t>State SD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36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34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30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37</w:t>
            </w:r>
          </w:p>
        </w:tc>
      </w:tr>
    </w:tbl>
    <w:p w:rsidR="00F12AF7" w:rsidRDefault="00F12AF7" w:rsidP="00F12AF7"/>
    <w:p w:rsidR="00F12AF7" w:rsidRDefault="00F12AF7" w:rsidP="00F12AF7"/>
    <w:p w:rsidR="00F12AF7" w:rsidRPr="00060CF0" w:rsidRDefault="00F12AF7" w:rsidP="00F12AF7">
      <w:pPr>
        <w:rPr>
          <w:b/>
          <w:i/>
        </w:rPr>
      </w:pPr>
      <w:r w:rsidRPr="00060CF0">
        <w:rPr>
          <w:b/>
          <w:i/>
        </w:rPr>
        <w:t>NAEP 2013</w:t>
      </w:r>
      <w:r>
        <w:rPr>
          <w:b/>
          <w:i/>
        </w:rPr>
        <w:t xml:space="preserve"> Racial Achievement Gaps based on the Standardized Mean Difference</w:t>
      </w:r>
      <w:r w:rsidRPr="00060CF0">
        <w:rPr>
          <w:b/>
          <w:i/>
        </w:rPr>
        <w:t xml:space="preserve"> </w:t>
      </w:r>
      <w:r w:rsidRPr="00F01BA9">
        <w:rPr>
          <w:b/>
          <w:i/>
        </w:rPr>
        <w:t>d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Pr="00EA043F" w:rsidRDefault="00F12AF7" w:rsidP="00F12AF7">
            <w:pPr>
              <w:jc w:val="center"/>
            </w:pPr>
            <w:r>
              <w:t>-0.69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-0.84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-0.90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-1.11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Pr="00EA043F" w:rsidRDefault="00F12AF7" w:rsidP="00F12AF7">
            <w:pPr>
              <w:jc w:val="center"/>
            </w:pPr>
            <w:r w:rsidRPr="00EA043F">
              <w:t>-0.70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-0.75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-0.85</w:t>
            </w:r>
          </w:p>
        </w:tc>
        <w:tc>
          <w:tcPr>
            <w:tcW w:w="1916" w:type="dxa"/>
          </w:tcPr>
          <w:p w:rsidR="00F12AF7" w:rsidRDefault="00F12AF7" w:rsidP="00F12AF7">
            <w:pPr>
              <w:jc w:val="center"/>
            </w:pPr>
            <w:r>
              <w:t>-0.76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 w:rsidRPr="00EA043F">
              <w:t>-0.27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-0.30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-0.30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-0.27</w:t>
            </w:r>
          </w:p>
        </w:tc>
      </w:tr>
    </w:tbl>
    <w:p w:rsidR="00F12AF7" w:rsidRDefault="00F12AF7" w:rsidP="00F12AF7"/>
    <w:p w:rsidR="00F12AF7" w:rsidRDefault="00F12AF7" w:rsidP="00F12AF7"/>
    <w:p w:rsidR="00DD4B0E" w:rsidRDefault="00DD4B0E" w:rsidP="00F12AF7"/>
    <w:p w:rsidR="00F12AF7" w:rsidRPr="00060CF0" w:rsidRDefault="00F12AF7" w:rsidP="00F12AF7">
      <w:pPr>
        <w:rPr>
          <w:b/>
          <w:i/>
        </w:rPr>
      </w:pPr>
      <w:r>
        <w:rPr>
          <w:b/>
          <w:i/>
        </w:rPr>
        <w:t>NAEP 2011</w:t>
      </w:r>
      <w:r w:rsidRPr="00060CF0">
        <w:rPr>
          <w:b/>
          <w:i/>
        </w:rPr>
        <w:t xml:space="preserve"> </w:t>
      </w:r>
      <w:r>
        <w:rPr>
          <w:b/>
          <w:i/>
        </w:rPr>
        <w:t>Mean Scale Scores</w:t>
      </w:r>
      <w:r w:rsidRPr="00060CF0">
        <w:rPr>
          <w:b/>
          <w:i/>
        </w:rPr>
        <w:t xml:space="preserve"> by Race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229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274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255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302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199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246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225</w:t>
            </w:r>
          </w:p>
        </w:tc>
        <w:tc>
          <w:tcPr>
            <w:tcW w:w="1916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266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201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257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230</w:t>
            </w:r>
          </w:p>
        </w:tc>
        <w:tc>
          <w:tcPr>
            <w:tcW w:w="1916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270</w:t>
            </w:r>
          </w:p>
        </w:tc>
      </w:tr>
      <w:tr w:rsidR="00F12AF7" w:rsidTr="00DD4B0E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217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267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253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282</w:t>
            </w:r>
          </w:p>
        </w:tc>
      </w:tr>
      <w:tr w:rsidR="00F12AF7" w:rsidTr="00DD4B0E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r>
              <w:t>State SD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Pr="004F4305" w:rsidRDefault="00F12AF7" w:rsidP="00F12AF7">
            <w:pPr>
              <w:jc w:val="center"/>
            </w:pPr>
            <w:r>
              <w:t>36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Pr="004F4305" w:rsidRDefault="00F12AF7" w:rsidP="00F12AF7">
            <w:pPr>
              <w:jc w:val="center"/>
            </w:pPr>
            <w:r>
              <w:t>33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Pr="004F4305" w:rsidRDefault="00F12AF7" w:rsidP="00F12AF7">
            <w:pPr>
              <w:jc w:val="center"/>
            </w:pPr>
            <w:r>
              <w:t>30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Pr="004F4305" w:rsidRDefault="00F12AF7" w:rsidP="00F12AF7">
            <w:pPr>
              <w:jc w:val="center"/>
            </w:pPr>
            <w:r>
              <w:t>35</w:t>
            </w:r>
          </w:p>
        </w:tc>
      </w:tr>
    </w:tbl>
    <w:p w:rsidR="00F12AF7" w:rsidRDefault="00F12AF7" w:rsidP="00F12AF7"/>
    <w:p w:rsidR="00F12AF7" w:rsidRDefault="00F12AF7" w:rsidP="00F12AF7"/>
    <w:p w:rsidR="00F12AF7" w:rsidRPr="00060CF0" w:rsidRDefault="00F12AF7" w:rsidP="00F12AF7">
      <w:pPr>
        <w:rPr>
          <w:b/>
          <w:i/>
        </w:rPr>
      </w:pPr>
      <w:r>
        <w:rPr>
          <w:b/>
          <w:i/>
        </w:rPr>
        <w:t>NAEP 2011 Racial Achievement Gaps based on the Standardized Mean Difference</w:t>
      </w:r>
      <w:r w:rsidRPr="00060CF0">
        <w:rPr>
          <w:b/>
          <w:i/>
        </w:rPr>
        <w:t xml:space="preserve"> </w:t>
      </w:r>
      <w:r w:rsidRPr="00F01BA9">
        <w:rPr>
          <w:b/>
          <w:i/>
        </w:rPr>
        <w:t>d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Pr="00EA043F" w:rsidRDefault="00F12AF7" w:rsidP="00F12AF7">
            <w:pPr>
              <w:jc w:val="center"/>
            </w:pPr>
            <w:r>
              <w:t>-0.83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-0.85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-1.02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-1.01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Pr="00EA043F" w:rsidRDefault="00F12AF7" w:rsidP="00F12AF7">
            <w:pPr>
              <w:jc w:val="center"/>
            </w:pPr>
            <w:r>
              <w:t>-0.80</w:t>
            </w:r>
          </w:p>
        </w:tc>
        <w:tc>
          <w:tcPr>
            <w:tcW w:w="1915" w:type="dxa"/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-0.51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-0.82</w:t>
            </w:r>
          </w:p>
        </w:tc>
        <w:tc>
          <w:tcPr>
            <w:tcW w:w="1916" w:type="dxa"/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-0.91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-0.35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-0.23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-0.08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-0.56</w:t>
            </w:r>
          </w:p>
        </w:tc>
      </w:tr>
    </w:tbl>
    <w:p w:rsidR="00F12AF7" w:rsidRDefault="00F12AF7" w:rsidP="00F12AF7"/>
    <w:p w:rsidR="00F12AF7" w:rsidRDefault="00F12AF7" w:rsidP="00F12AF7"/>
    <w:p w:rsidR="00F12AF7" w:rsidRDefault="00F12AF7">
      <w:r>
        <w:br w:type="page"/>
      </w:r>
    </w:p>
    <w:p w:rsidR="00F12AF7" w:rsidRDefault="00F12AF7" w:rsidP="00F12AF7"/>
    <w:p w:rsidR="00F12AF7" w:rsidRPr="00060CF0" w:rsidRDefault="00F12AF7" w:rsidP="00F12AF7">
      <w:pPr>
        <w:rPr>
          <w:b/>
          <w:i/>
        </w:rPr>
      </w:pPr>
      <w:r>
        <w:rPr>
          <w:b/>
          <w:i/>
        </w:rPr>
        <w:t>NAEP 2009</w:t>
      </w:r>
      <w:r w:rsidRPr="00060CF0">
        <w:rPr>
          <w:b/>
          <w:i/>
        </w:rPr>
        <w:t xml:space="preserve"> </w:t>
      </w:r>
      <w:r>
        <w:rPr>
          <w:b/>
          <w:i/>
        </w:rPr>
        <w:t>Mean Scale Scores</w:t>
      </w:r>
      <w:r w:rsidRPr="00060CF0">
        <w:rPr>
          <w:b/>
          <w:i/>
        </w:rPr>
        <w:t xml:space="preserve"> by Race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230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275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255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300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195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244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227</w:t>
            </w:r>
          </w:p>
        </w:tc>
        <w:tc>
          <w:tcPr>
            <w:tcW w:w="1916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264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194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247</w:t>
            </w:r>
          </w:p>
        </w:tc>
        <w:tc>
          <w:tcPr>
            <w:tcW w:w="1915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232</w:t>
            </w:r>
          </w:p>
        </w:tc>
        <w:tc>
          <w:tcPr>
            <w:tcW w:w="1916" w:type="dxa"/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269</w:t>
            </w:r>
          </w:p>
        </w:tc>
      </w:tr>
      <w:tr w:rsidR="00F12AF7" w:rsidTr="00DD4B0E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219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260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243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F12AF7" w:rsidRPr="004F4305" w:rsidRDefault="00F12AF7" w:rsidP="00F12AF7">
            <w:pPr>
              <w:jc w:val="center"/>
              <w:rPr>
                <w:color w:val="000000"/>
              </w:rPr>
            </w:pPr>
            <w:r w:rsidRPr="004F4305">
              <w:rPr>
                <w:color w:val="000000"/>
                <w:szCs w:val="22"/>
              </w:rPr>
              <w:t>283</w:t>
            </w:r>
          </w:p>
        </w:tc>
      </w:tr>
      <w:tr w:rsidR="00F12AF7" w:rsidTr="00DD4B0E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r>
              <w:t>State SD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Pr="004F4305" w:rsidRDefault="00F12AF7" w:rsidP="00F12AF7">
            <w:pPr>
              <w:jc w:val="center"/>
            </w:pPr>
            <w:r>
              <w:t>37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Pr="004F4305" w:rsidRDefault="00F12AF7" w:rsidP="00F12AF7">
            <w:pPr>
              <w:jc w:val="center"/>
            </w:pPr>
            <w:r>
              <w:t>32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Pr="004F4305" w:rsidRDefault="00F12AF7" w:rsidP="00F12AF7">
            <w:pPr>
              <w:jc w:val="center"/>
            </w:pPr>
            <w:r>
              <w:t>28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Pr="004F4305" w:rsidRDefault="00F12AF7" w:rsidP="00F12AF7">
            <w:pPr>
              <w:jc w:val="center"/>
            </w:pPr>
            <w:r>
              <w:t>35</w:t>
            </w:r>
          </w:p>
        </w:tc>
      </w:tr>
    </w:tbl>
    <w:p w:rsidR="00F12AF7" w:rsidRDefault="00F12AF7" w:rsidP="00F12AF7"/>
    <w:p w:rsidR="00F12AF7" w:rsidRDefault="00F12AF7" w:rsidP="00F12AF7"/>
    <w:p w:rsidR="00F12AF7" w:rsidRPr="00060CF0" w:rsidRDefault="00F12AF7" w:rsidP="00F12AF7">
      <w:pPr>
        <w:rPr>
          <w:b/>
          <w:i/>
        </w:rPr>
      </w:pPr>
      <w:r>
        <w:rPr>
          <w:b/>
          <w:i/>
        </w:rPr>
        <w:t>NAEP 2009 Racial Achievement Gaps based on the Standardized Mean Difference</w:t>
      </w:r>
      <w:r w:rsidRPr="00060CF0">
        <w:rPr>
          <w:b/>
          <w:i/>
        </w:rPr>
        <w:t xml:space="preserve"> </w:t>
      </w:r>
      <w:r w:rsidRPr="00F01BA9">
        <w:rPr>
          <w:b/>
          <w:i/>
        </w:rPr>
        <w:t>d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Pr="00EA043F" w:rsidRDefault="00F12AF7" w:rsidP="00F12AF7">
            <w:pPr>
              <w:jc w:val="center"/>
            </w:pPr>
            <w:r>
              <w:t>-0.96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-0.96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-1.00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-1.05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Pr="00EA043F" w:rsidRDefault="00F12AF7" w:rsidP="00F12AF7">
            <w:pPr>
              <w:jc w:val="center"/>
            </w:pPr>
            <w:r>
              <w:t>-0.98</w:t>
            </w:r>
          </w:p>
        </w:tc>
        <w:tc>
          <w:tcPr>
            <w:tcW w:w="1915" w:type="dxa"/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-0.87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-0.82</w:t>
            </w:r>
          </w:p>
        </w:tc>
        <w:tc>
          <w:tcPr>
            <w:tcW w:w="1916" w:type="dxa"/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-0.90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-0.30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-0.48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-0.41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F12AF7" w:rsidRPr="00A72319" w:rsidRDefault="00F12AF7" w:rsidP="00F12AF7">
            <w:pPr>
              <w:jc w:val="center"/>
              <w:rPr>
                <w:szCs w:val="20"/>
              </w:rPr>
            </w:pPr>
            <w:r w:rsidRPr="00A72319">
              <w:rPr>
                <w:szCs w:val="20"/>
              </w:rPr>
              <w:t>-0.51</w:t>
            </w:r>
          </w:p>
        </w:tc>
      </w:tr>
    </w:tbl>
    <w:p w:rsidR="00F12AF7" w:rsidRDefault="00F12AF7" w:rsidP="00F12AF7"/>
    <w:p w:rsidR="00F12AF7" w:rsidRDefault="00F12AF7"/>
    <w:p w:rsidR="00F12AF7" w:rsidRDefault="00F12AF7">
      <w:r>
        <w:br w:type="page"/>
      </w:r>
    </w:p>
    <w:p w:rsidR="00F12AF7" w:rsidRPr="002A07A6" w:rsidRDefault="00F12AF7" w:rsidP="00DD4B0E">
      <w:pPr>
        <w:pBdr>
          <w:top w:val="single" w:sz="4" w:space="1" w:color="auto"/>
          <w:bottom w:val="single" w:sz="4" w:space="1" w:color="auto"/>
        </w:pBdr>
        <w:rPr>
          <w:b/>
          <w:i/>
        </w:rPr>
      </w:pPr>
      <w:r>
        <w:rPr>
          <w:b/>
        </w:rPr>
        <w:t>NAEP</w:t>
      </w:r>
      <w:r w:rsidRPr="002A07A6">
        <w:rPr>
          <w:b/>
        </w:rPr>
        <w:t xml:space="preserve"> Standardized </w:t>
      </w:r>
      <w:r>
        <w:rPr>
          <w:b/>
        </w:rPr>
        <w:t xml:space="preserve">Proportion </w:t>
      </w:r>
      <w:r w:rsidRPr="002A07A6">
        <w:rPr>
          <w:b/>
        </w:rPr>
        <w:t xml:space="preserve">Differences: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</w:p>
    <w:p w:rsidR="002A07A6" w:rsidRDefault="002A07A6"/>
    <w:p w:rsidR="00F12AF7" w:rsidRDefault="00F12AF7"/>
    <w:p w:rsidR="00F12AF7" w:rsidRDefault="00F12AF7" w:rsidP="00F12AF7"/>
    <w:p w:rsidR="00F12AF7" w:rsidRPr="00060CF0" w:rsidRDefault="00F12AF7" w:rsidP="00F12AF7">
      <w:pPr>
        <w:rPr>
          <w:b/>
          <w:i/>
        </w:rPr>
      </w:pPr>
      <w:r w:rsidRPr="00060CF0">
        <w:rPr>
          <w:b/>
          <w:i/>
        </w:rPr>
        <w:t>NAEP 2013 Proportion Proficient or Higher by Race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.47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.46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.67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.54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.21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.16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.32</w:t>
            </w:r>
          </w:p>
        </w:tc>
        <w:tc>
          <w:tcPr>
            <w:tcW w:w="1916" w:type="dxa"/>
          </w:tcPr>
          <w:p w:rsidR="00F12AF7" w:rsidRDefault="00F12AF7" w:rsidP="00F12AF7">
            <w:pPr>
              <w:jc w:val="center"/>
            </w:pPr>
            <w:r>
              <w:t>.15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.23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.20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.34</w:t>
            </w:r>
          </w:p>
        </w:tc>
        <w:tc>
          <w:tcPr>
            <w:tcW w:w="1916" w:type="dxa"/>
          </w:tcPr>
          <w:p w:rsidR="00F12AF7" w:rsidRDefault="00F12AF7" w:rsidP="00F12AF7">
            <w:pPr>
              <w:jc w:val="center"/>
            </w:pPr>
            <w:r>
              <w:t>.20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.44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.34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.52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.43</w:t>
            </w:r>
          </w:p>
        </w:tc>
      </w:tr>
    </w:tbl>
    <w:p w:rsidR="00F12AF7" w:rsidRDefault="00F12AF7" w:rsidP="00F12AF7"/>
    <w:p w:rsidR="00F12AF7" w:rsidRDefault="00F12AF7" w:rsidP="00F12AF7"/>
    <w:p w:rsidR="00F12AF7" w:rsidRPr="00060CF0" w:rsidRDefault="00F12AF7" w:rsidP="00F12AF7">
      <w:pPr>
        <w:rPr>
          <w:b/>
          <w:i/>
        </w:rPr>
      </w:pPr>
      <w:r w:rsidRPr="00060CF0">
        <w:rPr>
          <w:b/>
          <w:i/>
        </w:rPr>
        <w:t>NAEP 2013</w:t>
      </w:r>
      <w:r>
        <w:rPr>
          <w:b/>
          <w:i/>
        </w:rPr>
        <w:t xml:space="preserve"> Racial Achievement Gaps based on the Standardized Proportion Difference</w:t>
      </w:r>
      <w:r w:rsidRPr="00060CF0">
        <w:rPr>
          <w:b/>
          <w:i/>
        </w:rPr>
        <w:t xml:space="preserve">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  <w:r>
        <w:t xml:space="preserve"> 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-0.73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-.89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-.91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-1.14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-0.66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-.74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-.85</w:t>
            </w:r>
          </w:p>
        </w:tc>
        <w:tc>
          <w:tcPr>
            <w:tcW w:w="1916" w:type="dxa"/>
          </w:tcPr>
          <w:p w:rsidR="00F12AF7" w:rsidRDefault="00F12AF7" w:rsidP="00F12AF7">
            <w:pPr>
              <w:jc w:val="center"/>
            </w:pPr>
            <w:r>
              <w:t>-.94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-0.08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-.31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-.39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-.28</w:t>
            </w:r>
          </w:p>
        </w:tc>
      </w:tr>
    </w:tbl>
    <w:p w:rsidR="00F12AF7" w:rsidRDefault="00F12AF7" w:rsidP="00F12AF7"/>
    <w:p w:rsidR="00F12AF7" w:rsidRDefault="00F12AF7" w:rsidP="00F12AF7"/>
    <w:p w:rsidR="00DD4B0E" w:rsidRDefault="00DD4B0E" w:rsidP="00F12AF7"/>
    <w:p w:rsidR="00F12AF7" w:rsidRPr="00060CF0" w:rsidRDefault="00F12AF7" w:rsidP="00F12AF7">
      <w:pPr>
        <w:rPr>
          <w:b/>
          <w:i/>
        </w:rPr>
      </w:pPr>
      <w:r w:rsidRPr="00060CF0">
        <w:rPr>
          <w:b/>
          <w:i/>
        </w:rPr>
        <w:t>NAEP 2</w:t>
      </w:r>
      <w:r>
        <w:rPr>
          <w:b/>
          <w:i/>
        </w:rPr>
        <w:t>011</w:t>
      </w:r>
      <w:r w:rsidRPr="00060CF0">
        <w:rPr>
          <w:b/>
          <w:i/>
        </w:rPr>
        <w:t xml:space="preserve"> Proportion Proficient or Higher by Race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Pr="00AA3710" w:rsidRDefault="00F12AF7" w:rsidP="00F12AF7">
            <w:pPr>
              <w:jc w:val="center"/>
            </w:pPr>
            <w:r w:rsidRPr="00AA3710">
              <w:t>.42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.44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.60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.55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</w:tcPr>
          <w:p w:rsidR="00F12AF7" w:rsidRPr="00AA3710" w:rsidRDefault="00F12AF7" w:rsidP="00F12AF7">
            <w:pPr>
              <w:jc w:val="center"/>
            </w:pPr>
            <w:r w:rsidRPr="00AA3710">
              <w:t>.16</w:t>
            </w:r>
          </w:p>
        </w:tc>
        <w:tc>
          <w:tcPr>
            <w:tcW w:w="1915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.15</w:t>
            </w:r>
          </w:p>
        </w:tc>
        <w:tc>
          <w:tcPr>
            <w:tcW w:w="1915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.23</w:t>
            </w:r>
          </w:p>
        </w:tc>
        <w:tc>
          <w:tcPr>
            <w:tcW w:w="1916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.18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Pr="00AA3710" w:rsidRDefault="00F12AF7" w:rsidP="00F12AF7">
            <w:pPr>
              <w:jc w:val="center"/>
            </w:pPr>
            <w:r w:rsidRPr="00AA3710">
              <w:t>.12</w:t>
            </w:r>
          </w:p>
        </w:tc>
        <w:tc>
          <w:tcPr>
            <w:tcW w:w="1915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.23</w:t>
            </w:r>
          </w:p>
        </w:tc>
        <w:tc>
          <w:tcPr>
            <w:tcW w:w="1915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.28</w:t>
            </w:r>
          </w:p>
        </w:tc>
        <w:tc>
          <w:tcPr>
            <w:tcW w:w="1916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.18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Pr="00AA3710" w:rsidRDefault="00F12AF7" w:rsidP="00F12AF7">
            <w:pPr>
              <w:jc w:val="center"/>
            </w:pPr>
            <w:r w:rsidRPr="00AA3710">
              <w:t>.32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.37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.57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.35</w:t>
            </w:r>
          </w:p>
        </w:tc>
      </w:tr>
    </w:tbl>
    <w:p w:rsidR="00F12AF7" w:rsidRDefault="00F12AF7" w:rsidP="00F12AF7"/>
    <w:p w:rsidR="00F12AF7" w:rsidRDefault="00F12AF7" w:rsidP="00F12AF7"/>
    <w:p w:rsidR="00F12AF7" w:rsidRPr="00060CF0" w:rsidRDefault="00F12AF7" w:rsidP="00F12AF7">
      <w:pPr>
        <w:rPr>
          <w:b/>
          <w:i/>
        </w:rPr>
      </w:pPr>
      <w:r>
        <w:rPr>
          <w:b/>
          <w:i/>
        </w:rPr>
        <w:t>NAEP 2011 Racial Achievement Gaps based on the Standardized Proportion Difference</w:t>
      </w:r>
      <w:r w:rsidRPr="00060CF0">
        <w:rPr>
          <w:b/>
          <w:i/>
        </w:rPr>
        <w:t xml:space="preserve">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  <w:r>
        <w:t xml:space="preserve"> 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-.79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-.89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-.99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-1.04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-.97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-.59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-.84</w:t>
            </w:r>
          </w:p>
        </w:tc>
        <w:tc>
          <w:tcPr>
            <w:tcW w:w="1916" w:type="dxa"/>
          </w:tcPr>
          <w:p w:rsidR="00F12AF7" w:rsidRDefault="00F12AF7" w:rsidP="00F12AF7">
            <w:pPr>
              <w:jc w:val="center"/>
            </w:pPr>
            <w:r>
              <w:t>-1.04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-.27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-.18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-.08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-.51</w:t>
            </w:r>
          </w:p>
        </w:tc>
      </w:tr>
    </w:tbl>
    <w:p w:rsidR="00F12AF7" w:rsidRDefault="00F12AF7" w:rsidP="00F12AF7"/>
    <w:p w:rsidR="00F12AF7" w:rsidRDefault="00F12AF7" w:rsidP="00F12AF7"/>
    <w:p w:rsidR="00F12AF7" w:rsidRDefault="00F12AF7">
      <w:r>
        <w:br w:type="page"/>
      </w:r>
    </w:p>
    <w:p w:rsidR="00F12AF7" w:rsidRDefault="00F12AF7" w:rsidP="00F12AF7"/>
    <w:p w:rsidR="00F12AF7" w:rsidRPr="00060CF0" w:rsidRDefault="00F12AF7" w:rsidP="00F12AF7">
      <w:pPr>
        <w:rPr>
          <w:b/>
          <w:i/>
        </w:rPr>
      </w:pPr>
      <w:r w:rsidRPr="00060CF0">
        <w:rPr>
          <w:b/>
          <w:i/>
        </w:rPr>
        <w:t>NAEP 20</w:t>
      </w:r>
      <w:r>
        <w:rPr>
          <w:b/>
          <w:i/>
        </w:rPr>
        <w:t>09</w:t>
      </w:r>
      <w:r w:rsidRPr="00060CF0">
        <w:rPr>
          <w:b/>
          <w:i/>
        </w:rPr>
        <w:t xml:space="preserve"> Proportion Proficient or Higher by Race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White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Pr="00AA3710" w:rsidRDefault="00F12AF7" w:rsidP="00F12AF7">
            <w:pPr>
              <w:jc w:val="center"/>
            </w:pPr>
            <w:r w:rsidRPr="00AA3710">
              <w:t>.43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.44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.61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.53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</w:tcPr>
          <w:p w:rsidR="00F12AF7" w:rsidRPr="00AA3710" w:rsidRDefault="00F12AF7" w:rsidP="00F12AF7">
            <w:pPr>
              <w:jc w:val="center"/>
            </w:pPr>
            <w:r w:rsidRPr="00AA3710">
              <w:t>.12</w:t>
            </w:r>
          </w:p>
        </w:tc>
        <w:tc>
          <w:tcPr>
            <w:tcW w:w="1915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.10</w:t>
            </w:r>
          </w:p>
        </w:tc>
        <w:tc>
          <w:tcPr>
            <w:tcW w:w="1915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.25</w:t>
            </w:r>
          </w:p>
        </w:tc>
        <w:tc>
          <w:tcPr>
            <w:tcW w:w="1916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.13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Pr="00AA3710" w:rsidRDefault="00F12AF7" w:rsidP="00F12AF7">
            <w:pPr>
              <w:jc w:val="center"/>
            </w:pPr>
            <w:r w:rsidRPr="00AA3710">
              <w:t>.13</w:t>
            </w:r>
          </w:p>
        </w:tc>
        <w:tc>
          <w:tcPr>
            <w:tcW w:w="1915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.16</w:t>
            </w:r>
          </w:p>
        </w:tc>
        <w:tc>
          <w:tcPr>
            <w:tcW w:w="1915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.29</w:t>
            </w:r>
          </w:p>
        </w:tc>
        <w:tc>
          <w:tcPr>
            <w:tcW w:w="1916" w:type="dxa"/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.21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Pr="00AA3710" w:rsidRDefault="00F12AF7" w:rsidP="00F12AF7">
            <w:pPr>
              <w:jc w:val="center"/>
            </w:pPr>
            <w:r w:rsidRPr="00AA3710">
              <w:t>.34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.30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.44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F12AF7" w:rsidRPr="00AA3710" w:rsidRDefault="00F12AF7" w:rsidP="00F12AF7">
            <w:pPr>
              <w:jc w:val="center"/>
              <w:rPr>
                <w:color w:val="000000"/>
              </w:rPr>
            </w:pPr>
            <w:r w:rsidRPr="00AA3710">
              <w:rPr>
                <w:color w:val="000000"/>
              </w:rPr>
              <w:t>.35</w:t>
            </w:r>
          </w:p>
        </w:tc>
      </w:tr>
    </w:tbl>
    <w:p w:rsidR="00F12AF7" w:rsidRDefault="00F12AF7" w:rsidP="00F12AF7"/>
    <w:p w:rsidR="00F12AF7" w:rsidRDefault="00F12AF7" w:rsidP="00F12AF7"/>
    <w:p w:rsidR="00F12AF7" w:rsidRPr="00060CF0" w:rsidRDefault="00F12AF7" w:rsidP="00F12AF7">
      <w:pPr>
        <w:rPr>
          <w:b/>
          <w:i/>
        </w:rPr>
      </w:pPr>
      <w:r w:rsidRPr="00060CF0">
        <w:rPr>
          <w:b/>
          <w:i/>
        </w:rPr>
        <w:t>NAEP 20</w:t>
      </w:r>
      <w:r>
        <w:rPr>
          <w:b/>
          <w:i/>
        </w:rPr>
        <w:t>09 Racial Achievement Gaps based on the Standardized Proportion Difference</w:t>
      </w:r>
      <w:r w:rsidRPr="00060CF0">
        <w:rPr>
          <w:b/>
          <w:i/>
        </w:rPr>
        <w:t xml:space="preserve"> </w:t>
      </w:r>
      <w:proofErr w:type="spellStart"/>
      <w:r w:rsidRPr="00F01BA9">
        <w:rPr>
          <w:b/>
          <w:i/>
        </w:rPr>
        <w:t>d</w:t>
      </w:r>
      <w:r w:rsidRPr="00F01BA9">
        <w:rPr>
          <w:vertAlign w:val="subscript"/>
        </w:rPr>
        <w:t>probit</w:t>
      </w:r>
      <w:proofErr w:type="spellEnd"/>
      <w:r>
        <w:t xml:space="preserve"> </w:t>
      </w:r>
    </w:p>
    <w:p w:rsidR="00F12AF7" w:rsidRDefault="00F12AF7" w:rsidP="00F12A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12AF7" w:rsidTr="00F12AF7"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Reading 8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4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Math 8</w:t>
            </w:r>
          </w:p>
        </w:tc>
      </w:tr>
      <w:tr w:rsidR="00F12AF7" w:rsidTr="00F12AF7"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r>
              <w:t>Black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-1.00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-1.13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-.95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-1.20</w:t>
            </w:r>
          </w:p>
        </w:tc>
      </w:tr>
      <w:tr w:rsidR="00F12AF7" w:rsidTr="00F12AF7">
        <w:tc>
          <w:tcPr>
            <w:tcW w:w="1915" w:type="dxa"/>
          </w:tcPr>
          <w:p w:rsidR="00F12AF7" w:rsidRDefault="00F12AF7" w:rsidP="00F12AF7">
            <w:r>
              <w:t>Hispanic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-.95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-.84</w:t>
            </w:r>
          </w:p>
        </w:tc>
        <w:tc>
          <w:tcPr>
            <w:tcW w:w="1915" w:type="dxa"/>
          </w:tcPr>
          <w:p w:rsidR="00F12AF7" w:rsidRDefault="00F12AF7" w:rsidP="00F12AF7">
            <w:pPr>
              <w:jc w:val="center"/>
            </w:pPr>
            <w:r>
              <w:t>-.83</w:t>
            </w:r>
          </w:p>
        </w:tc>
        <w:tc>
          <w:tcPr>
            <w:tcW w:w="1916" w:type="dxa"/>
          </w:tcPr>
          <w:p w:rsidR="00F12AF7" w:rsidRDefault="00F12AF7" w:rsidP="00F12AF7">
            <w:pPr>
              <w:jc w:val="center"/>
            </w:pPr>
            <w:r>
              <w:t>-.88</w:t>
            </w:r>
          </w:p>
        </w:tc>
      </w:tr>
      <w:tr w:rsidR="00F12AF7" w:rsidTr="00F12AF7"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r>
              <w:t>Asian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-.24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-.37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-.43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12AF7" w:rsidRDefault="00F12AF7" w:rsidP="00F12AF7">
            <w:pPr>
              <w:jc w:val="center"/>
            </w:pPr>
            <w:r>
              <w:t>-.46</w:t>
            </w:r>
          </w:p>
        </w:tc>
      </w:tr>
    </w:tbl>
    <w:p w:rsidR="00F12AF7" w:rsidRDefault="00F12AF7" w:rsidP="00F12AF7"/>
    <w:p w:rsidR="00F12AF7" w:rsidRDefault="00F12AF7"/>
    <w:p w:rsidR="00F12AF7" w:rsidRDefault="00F12AF7"/>
    <w:sectPr w:rsidR="00F12AF7" w:rsidSect="00DD4B0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7F" w:rsidRDefault="00F4367F" w:rsidP="002A07A6">
      <w:r>
        <w:separator/>
      </w:r>
    </w:p>
  </w:endnote>
  <w:endnote w:type="continuationSeparator" w:id="0">
    <w:p w:rsidR="00F4367F" w:rsidRDefault="00F4367F" w:rsidP="002A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876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B0E" w:rsidRDefault="00DD4B0E" w:rsidP="00DD4B0E">
        <w:pPr>
          <w:pStyle w:val="Footer"/>
          <w:jc w:val="right"/>
        </w:pPr>
        <w:r w:rsidRPr="00DD4B0E">
          <w:rPr>
            <w:sz w:val="20"/>
            <w:szCs w:val="20"/>
          </w:rPr>
          <w:fldChar w:fldCharType="begin"/>
        </w:r>
        <w:r w:rsidRPr="00DD4B0E">
          <w:rPr>
            <w:sz w:val="20"/>
            <w:szCs w:val="20"/>
          </w:rPr>
          <w:instrText xml:space="preserve"> PAGE   \* MERGEFORMAT </w:instrText>
        </w:r>
        <w:r w:rsidRPr="00DD4B0E">
          <w:rPr>
            <w:sz w:val="20"/>
            <w:szCs w:val="20"/>
          </w:rPr>
          <w:fldChar w:fldCharType="separate"/>
        </w:r>
        <w:r w:rsidR="00680321">
          <w:rPr>
            <w:noProof/>
            <w:sz w:val="20"/>
            <w:szCs w:val="20"/>
          </w:rPr>
          <w:t>2</w:t>
        </w:r>
        <w:r w:rsidRPr="00DD4B0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7F" w:rsidRDefault="00F4367F" w:rsidP="002A07A6">
      <w:r>
        <w:separator/>
      </w:r>
    </w:p>
  </w:footnote>
  <w:footnote w:type="continuationSeparator" w:id="0">
    <w:p w:rsidR="00F4367F" w:rsidRDefault="00F4367F" w:rsidP="002A07A6">
      <w:r>
        <w:continuationSeparator/>
      </w:r>
    </w:p>
  </w:footnote>
  <w:footnote w:id="1">
    <w:p w:rsidR="00EA25B7" w:rsidRDefault="00EA25B7" w:rsidP="00EA25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352F">
        <w:t>http://w20.education.state.mn.us/MDEAnalytics/Data.jsp</w:t>
      </w:r>
    </w:p>
  </w:footnote>
  <w:footnote w:id="2">
    <w:p w:rsidR="00EA25B7" w:rsidRDefault="00EA25B7" w:rsidP="00EA25B7">
      <w:pPr>
        <w:ind w:left="720" w:hanging="720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2A07A6">
        <w:rPr>
          <w:sz w:val="20"/>
          <w:szCs w:val="20"/>
        </w:rPr>
        <w:t>National Center for Education Statistics (</w:t>
      </w:r>
      <w:proofErr w:type="spellStart"/>
      <w:r w:rsidRPr="002A07A6">
        <w:rPr>
          <w:sz w:val="20"/>
          <w:szCs w:val="20"/>
        </w:rPr>
        <w:t>n.d.</w:t>
      </w:r>
      <w:proofErr w:type="spellEnd"/>
      <w:r w:rsidRPr="002A07A6">
        <w:rPr>
          <w:sz w:val="20"/>
          <w:szCs w:val="20"/>
        </w:rPr>
        <w:t>).</w:t>
      </w:r>
      <w:proofErr w:type="gramEnd"/>
      <w:r w:rsidRPr="002A07A6">
        <w:rPr>
          <w:sz w:val="20"/>
          <w:szCs w:val="20"/>
        </w:rPr>
        <w:t xml:space="preserve"> </w:t>
      </w:r>
      <w:proofErr w:type="gramStart"/>
      <w:r w:rsidRPr="002A07A6">
        <w:rPr>
          <w:i/>
          <w:sz w:val="20"/>
          <w:szCs w:val="20"/>
        </w:rPr>
        <w:t>NAEP Data Explorer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Washington DC: US Dept.</w:t>
      </w:r>
      <w:r w:rsidRPr="002A07A6">
        <w:rPr>
          <w:sz w:val="20"/>
          <w:szCs w:val="20"/>
        </w:rPr>
        <w:t xml:space="preserve"> of Education, Institute of Education Statistics. Retrieved </w:t>
      </w:r>
      <w:r>
        <w:rPr>
          <w:sz w:val="20"/>
          <w:szCs w:val="20"/>
        </w:rPr>
        <w:t>from</w:t>
      </w:r>
      <w:r w:rsidRPr="002A07A6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2A07A6">
        <w:rPr>
          <w:sz w:val="20"/>
          <w:szCs w:val="20"/>
        </w:rPr>
        <w:t>ttp://nces.ed.gov/nationsreportcard/naepdata/report.aspx</w:t>
      </w:r>
    </w:p>
  </w:footnote>
  <w:footnote w:id="3">
    <w:p w:rsidR="00F12AF7" w:rsidRPr="002A07A6" w:rsidRDefault="00F12AF7" w:rsidP="002A07A6">
      <w:pPr>
        <w:ind w:left="720" w:hanging="72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2A07A6">
        <w:rPr>
          <w:sz w:val="20"/>
          <w:szCs w:val="20"/>
        </w:rPr>
        <w:t>Sanchez-</w:t>
      </w:r>
      <w:proofErr w:type="spellStart"/>
      <w:r w:rsidRPr="002A07A6">
        <w:rPr>
          <w:sz w:val="20"/>
          <w:szCs w:val="20"/>
        </w:rPr>
        <w:t>Meca</w:t>
      </w:r>
      <w:proofErr w:type="spellEnd"/>
      <w:r w:rsidRPr="002A07A6">
        <w:rPr>
          <w:sz w:val="20"/>
          <w:szCs w:val="20"/>
        </w:rPr>
        <w:t>, J., Marin-Martinez, F., &amp; Chacon-</w:t>
      </w:r>
      <w:proofErr w:type="spellStart"/>
      <w:r w:rsidRPr="002A07A6">
        <w:rPr>
          <w:sz w:val="20"/>
          <w:szCs w:val="20"/>
        </w:rPr>
        <w:t>Moscoso</w:t>
      </w:r>
      <w:proofErr w:type="spellEnd"/>
      <w:r w:rsidRPr="002A07A6">
        <w:rPr>
          <w:sz w:val="20"/>
          <w:szCs w:val="20"/>
        </w:rPr>
        <w:t>, S. (2003).</w:t>
      </w:r>
      <w:proofErr w:type="gramEnd"/>
      <w:r w:rsidRPr="002A07A6">
        <w:rPr>
          <w:sz w:val="20"/>
          <w:szCs w:val="20"/>
        </w:rPr>
        <w:t xml:space="preserve"> </w:t>
      </w:r>
      <w:proofErr w:type="gramStart"/>
      <w:r w:rsidRPr="002A07A6">
        <w:rPr>
          <w:sz w:val="20"/>
          <w:szCs w:val="20"/>
        </w:rPr>
        <w:t>Effect size indices for dichotomized outcomes in meta-analysis.</w:t>
      </w:r>
      <w:proofErr w:type="gramEnd"/>
      <w:r w:rsidRPr="002A07A6">
        <w:rPr>
          <w:sz w:val="20"/>
          <w:szCs w:val="20"/>
        </w:rPr>
        <w:t xml:space="preserve"> </w:t>
      </w:r>
      <w:r w:rsidRPr="002A07A6">
        <w:rPr>
          <w:i/>
          <w:sz w:val="20"/>
          <w:szCs w:val="20"/>
        </w:rPr>
        <w:t>Psychological Methods, 8</w:t>
      </w:r>
      <w:r w:rsidRPr="002A07A6">
        <w:rPr>
          <w:sz w:val="20"/>
          <w:szCs w:val="20"/>
        </w:rPr>
        <w:t>(4), 448-467.</w:t>
      </w:r>
    </w:p>
  </w:footnote>
  <w:footnote w:id="4">
    <w:p w:rsidR="00F12AF7" w:rsidRPr="002A07A6" w:rsidRDefault="00F12AF7" w:rsidP="002A07A6">
      <w:pPr>
        <w:ind w:left="720" w:hanging="72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A07A6">
        <w:rPr>
          <w:sz w:val="20"/>
          <w:szCs w:val="20"/>
        </w:rPr>
        <w:t>Wilson, D.B. (</w:t>
      </w:r>
      <w:proofErr w:type="spellStart"/>
      <w:r w:rsidRPr="002A07A6">
        <w:rPr>
          <w:sz w:val="20"/>
          <w:szCs w:val="20"/>
        </w:rPr>
        <w:t>n.d.</w:t>
      </w:r>
      <w:proofErr w:type="spellEnd"/>
      <w:r w:rsidRPr="002A07A6">
        <w:rPr>
          <w:sz w:val="20"/>
          <w:szCs w:val="20"/>
        </w:rPr>
        <w:t xml:space="preserve">). </w:t>
      </w:r>
      <w:proofErr w:type="gramStart"/>
      <w:r w:rsidRPr="002A07A6">
        <w:rPr>
          <w:i/>
          <w:sz w:val="20"/>
          <w:szCs w:val="20"/>
        </w:rPr>
        <w:t>Practical meta-analysis effect size calculator</w:t>
      </w:r>
      <w:r w:rsidRPr="002A07A6">
        <w:rPr>
          <w:sz w:val="20"/>
          <w:szCs w:val="20"/>
        </w:rPr>
        <w:t>.</w:t>
      </w:r>
      <w:proofErr w:type="gramEnd"/>
      <w:r w:rsidRPr="002A07A6">
        <w:rPr>
          <w:sz w:val="20"/>
          <w:szCs w:val="20"/>
        </w:rPr>
        <w:t xml:space="preserve"> Retrieved from http://www.campbellcollaboration.org/escalc/html/EffectSizeCalculator-SMD10.php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6"/>
    <w:rsid w:val="0014352F"/>
    <w:rsid w:val="002A07A6"/>
    <w:rsid w:val="002D7B99"/>
    <w:rsid w:val="0048760B"/>
    <w:rsid w:val="00680321"/>
    <w:rsid w:val="007945DF"/>
    <w:rsid w:val="007D5835"/>
    <w:rsid w:val="009D05B0"/>
    <w:rsid w:val="00CA0163"/>
    <w:rsid w:val="00CA7B8F"/>
    <w:rsid w:val="00DD4B0E"/>
    <w:rsid w:val="00EA25B7"/>
    <w:rsid w:val="00F12AF7"/>
    <w:rsid w:val="00F4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A6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7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7A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7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4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B0E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B0E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A6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7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7A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7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4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B0E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B0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8F03-282A-4E4A-9829-22DE86A2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9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C. Rodriguez</cp:lastModifiedBy>
  <cp:revision>3</cp:revision>
  <dcterms:created xsi:type="dcterms:W3CDTF">2014-12-10T04:21:00Z</dcterms:created>
  <dcterms:modified xsi:type="dcterms:W3CDTF">2014-12-10T17:39:00Z</dcterms:modified>
</cp:coreProperties>
</file>